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9A" w:rsidRDefault="00A11E9A" w:rsidP="00A11E9A">
      <w:bookmarkStart w:id="0" w:name="_GoBack"/>
      <w:bookmarkEnd w:id="0"/>
    </w:p>
    <w:p w:rsidR="00A11E9A" w:rsidRDefault="00A11E9A" w:rsidP="00A11E9A">
      <w:r>
        <w:t xml:space="preserve">Un generatore di tensione </w:t>
      </w:r>
      <w:r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pt;height:18.15pt" o:ole="">
            <v:imagedata r:id="rId5" o:title=""/>
          </v:shape>
          <o:OLEObject Type="Embed" ProgID="Equation.DSMT4" ShapeID="_x0000_i1025" DrawAspect="Content" ObjectID="_1709026250" r:id="rId6"/>
        </w:object>
      </w:r>
      <w:r>
        <w:t xml:space="preserve">, di impedenza interna trascurabile, è collegato a un partitore di tensione realizzato con due resistenze </w:t>
      </w:r>
      <w:r>
        <w:rPr>
          <w:position w:val="-12"/>
        </w:rPr>
        <w:object w:dxaOrig="260" w:dyaOrig="360">
          <v:shape id="_x0000_i1026" type="#_x0000_t75" style="width:12.7pt;height:18.15pt" o:ole="">
            <v:imagedata r:id="rId7" o:title=""/>
          </v:shape>
          <o:OLEObject Type="Embed" ProgID="Equation.DSMT4" ShapeID="_x0000_i1026" DrawAspect="Content" ObjectID="_1709026251" r:id="rId8"/>
        </w:object>
      </w:r>
      <w:r>
        <w:t>=100 k</w:t>
      </w:r>
      <w:r>
        <w:sym w:font="Symbol" w:char="F057"/>
      </w:r>
      <w:r>
        <w:t xml:space="preserve">, </w:t>
      </w:r>
      <w:r>
        <w:rPr>
          <w:position w:val="-12"/>
        </w:rPr>
        <w:object w:dxaOrig="300" w:dyaOrig="360">
          <v:shape id="_x0000_i1027" type="#_x0000_t75" style="width:15.15pt;height:18.15pt" o:ole="">
            <v:imagedata r:id="rId9" o:title=""/>
          </v:shape>
          <o:OLEObject Type="Embed" ProgID="Equation.DSMT4" ShapeID="_x0000_i1027" DrawAspect="Content" ObjectID="_1709026252" r:id="rId10"/>
        </w:object>
      </w:r>
      <w:r>
        <w:t>=200 k</w:t>
      </w:r>
      <w:r>
        <w:sym w:font="Symbol" w:char="F057"/>
      </w:r>
      <w:r>
        <w:t xml:space="preserve">, entrambe di tolleranza 5%. Poiché non è possibile accedere direttamente a </w:t>
      </w:r>
      <w:r>
        <w:rPr>
          <w:position w:val="-12"/>
        </w:rPr>
        <w:object w:dxaOrig="260" w:dyaOrig="360">
          <v:shape id="_x0000_i1028" type="#_x0000_t75" style="width:12.7pt;height:18.15pt" o:ole="">
            <v:imagedata r:id="rId5" o:title=""/>
          </v:shape>
          <o:OLEObject Type="Embed" ProgID="Equation.DSMT4" ShapeID="_x0000_i1028" DrawAspect="Content" ObjectID="_1709026253" r:id="rId11"/>
        </w:object>
      </w:r>
      <w:r>
        <w:t xml:space="preserve">, si misura la tensione </w:t>
      </w:r>
      <w:r>
        <w:rPr>
          <w:position w:val="-12"/>
        </w:rPr>
        <w:object w:dxaOrig="300" w:dyaOrig="360">
          <v:shape id="_x0000_i1029" type="#_x0000_t75" style="width:15.15pt;height:18.15pt" o:ole="">
            <v:imagedata r:id="rId12" o:title=""/>
          </v:shape>
          <o:OLEObject Type="Embed" ProgID="Equation.DSMT4" ShapeID="_x0000_i1029" DrawAspect="Content" ObjectID="_1709026254" r:id="rId13"/>
        </w:object>
      </w:r>
      <w:r>
        <w:t xml:space="preserve">=1.25 V ai capi di </w:t>
      </w:r>
      <w:r>
        <w:rPr>
          <w:position w:val="-12"/>
        </w:rPr>
        <w:object w:dxaOrig="300" w:dyaOrig="360">
          <v:shape id="_x0000_i1030" type="#_x0000_t75" style="width:15.15pt;height:18.15pt" o:ole="">
            <v:imagedata r:id="rId9" o:title=""/>
          </v:shape>
          <o:OLEObject Type="Embed" ProgID="Equation.DSMT4" ShapeID="_x0000_i1030" DrawAspect="Content" ObjectID="_1709026255" r:id="rId14"/>
        </w:object>
      </w:r>
      <w:r>
        <w:t>.</w:t>
      </w:r>
    </w:p>
    <w:p w:rsidR="00A11E9A" w:rsidRDefault="00A11E9A" w:rsidP="00A11E9A">
      <w:pPr>
        <w:numPr>
          <w:ilvl w:val="0"/>
          <w:numId w:val="1"/>
        </w:numPr>
      </w:pPr>
      <w:r>
        <w:t xml:space="preserve">Determinare il valore di </w:t>
      </w:r>
      <w:r>
        <w:rPr>
          <w:position w:val="-12"/>
        </w:rPr>
        <w:object w:dxaOrig="260" w:dyaOrig="360">
          <v:shape id="_x0000_i1031" type="#_x0000_t75" style="width:12.7pt;height:18.15pt" o:ole="">
            <v:imagedata r:id="rId5" o:title=""/>
          </v:shape>
          <o:OLEObject Type="Embed" ProgID="Equation.DSMT4" ShapeID="_x0000_i1031" DrawAspect="Content" ObjectID="_1709026256" r:id="rId15"/>
        </w:object>
      </w:r>
      <w:r>
        <w:t xml:space="preserve"> e l’incertezza di misura di caso peggiore </w:t>
      </w:r>
      <w:r>
        <w:rPr>
          <w:position w:val="-14"/>
        </w:rPr>
        <w:object w:dxaOrig="380" w:dyaOrig="380">
          <v:shape id="_x0000_i1032" type="#_x0000_t75" style="width:18.75pt;height:18.75pt" o:ole="">
            <v:imagedata r:id="rId16" o:title=""/>
          </v:shape>
          <o:OLEObject Type="Embed" ProgID="Equation.DSMT4" ShapeID="_x0000_i1032" DrawAspect="Content" ObjectID="_1709026257" r:id="rId17"/>
        </w:object>
      </w:r>
      <w:r>
        <w:t xml:space="preserve">, sapendo che la resistenza interna del voltmetro è </w:t>
      </w:r>
      <w:r>
        <w:rPr>
          <w:position w:val="-12"/>
        </w:rPr>
        <w:object w:dxaOrig="320" w:dyaOrig="360">
          <v:shape id="_x0000_i1033" type="#_x0000_t75" style="width:15.75pt;height:18.15pt" o:ole="">
            <v:imagedata r:id="rId18" o:title=""/>
          </v:shape>
          <o:OLEObject Type="Embed" ProgID="Equation.DSMT4" ShapeID="_x0000_i1033" DrawAspect="Content" ObjectID="_1709026258" r:id="rId19"/>
        </w:object>
      </w:r>
      <w:r>
        <w:t>=1 M</w:t>
      </w:r>
      <w:r>
        <w:sym w:font="Symbol" w:char="F057"/>
      </w:r>
      <w:r>
        <w:t xml:space="preserve"> ± 1% , e il voltmetro ha intrinsecamente un’incertezza del 2%.</w:t>
      </w:r>
    </w:p>
    <w:p w:rsidR="00A11E9A" w:rsidRDefault="00A11E9A" w:rsidP="00A11E9A">
      <w:r>
        <w:t xml:space="preserve">(Si tenga presente che tutte le tolleranze e le incertezze fornite sono da intendersi come di caso peggiore. Indicare le incertezze su </w:t>
      </w:r>
      <w:r>
        <w:rPr>
          <w:position w:val="-12"/>
        </w:rPr>
        <w:object w:dxaOrig="1280" w:dyaOrig="360">
          <v:shape id="_x0000_i1034" type="#_x0000_t75" style="width:63.85pt;height:18.15pt" o:ole="">
            <v:imagedata r:id="rId20" o:title=""/>
          </v:shape>
          <o:OLEObject Type="Embed" ProgID="Equation.DSMT4" ShapeID="_x0000_i1034" DrawAspect="Content" ObjectID="_1709026259" r:id="rId21"/>
        </w:object>
      </w:r>
      <w:r>
        <w:t xml:space="preserve"> con i simboli </w:t>
      </w:r>
      <w:r>
        <w:rPr>
          <w:position w:val="-14"/>
        </w:rPr>
        <w:object w:dxaOrig="1700" w:dyaOrig="380">
          <v:shape id="_x0000_i1035" type="#_x0000_t75" style="width:84.7pt;height:18.75pt" o:ole="">
            <v:imagedata r:id="rId22" o:title=""/>
          </v:shape>
          <o:OLEObject Type="Embed" ProgID="Equation.DSMT4" ShapeID="_x0000_i1035" DrawAspect="Content" ObjectID="_1709026260" r:id="rId23"/>
        </w:object>
      </w:r>
      <w:r>
        <w:t xml:space="preserve">). </w:t>
      </w:r>
    </w:p>
    <w:p w:rsidR="00A11E9A" w:rsidRDefault="00A11E9A" w:rsidP="00A11E9A">
      <w:pPr>
        <w:numPr>
          <w:ilvl w:val="0"/>
          <w:numId w:val="1"/>
        </w:numPr>
      </w:pPr>
      <w:r>
        <w:t xml:space="preserve">Determinare l’incertezza standard </w:t>
      </w:r>
      <w:r>
        <w:rPr>
          <w:position w:val="-14"/>
        </w:rPr>
        <w:object w:dxaOrig="380" w:dyaOrig="380">
          <v:shape id="_x0000_i1036" type="#_x0000_t75" style="width:18.75pt;height:18.75pt" o:ole="">
            <v:imagedata r:id="rId24" o:title=""/>
          </v:shape>
          <o:OLEObject Type="Embed" ProgID="Equation.DSMT4" ShapeID="_x0000_i1036" DrawAspect="Content" ObjectID="_1709026261" r:id="rId25"/>
        </w:object>
      </w:r>
      <w:r>
        <w:t xml:space="preserve"> sulla misura di </w:t>
      </w:r>
      <w:r>
        <w:rPr>
          <w:position w:val="-12"/>
        </w:rPr>
        <w:object w:dxaOrig="260" w:dyaOrig="360">
          <v:shape id="_x0000_i1037" type="#_x0000_t75" style="width:12.7pt;height:18.15pt" o:ole="">
            <v:imagedata r:id="rId5" o:title=""/>
          </v:shape>
          <o:OLEObject Type="Embed" ProgID="Equation.DSMT4" ShapeID="_x0000_i1037" DrawAspect="Content" ObjectID="_1709026262" r:id="rId26"/>
        </w:object>
      </w:r>
      <w:r>
        <w:t>, specificando qual è la distribuzione dell’errore di misura, e perché.</w:t>
      </w:r>
    </w:p>
    <w:p w:rsidR="00A11E9A" w:rsidRDefault="00A11E9A" w:rsidP="00A11E9A"/>
    <w:p w:rsidR="00A11E9A" w:rsidRPr="00323F16" w:rsidRDefault="00A11E9A" w:rsidP="00A11E9A">
      <w:pPr>
        <w:rPr>
          <w:i/>
        </w:rPr>
      </w:pPr>
      <w:r w:rsidRPr="00323F16">
        <w:rPr>
          <w:i/>
        </w:rPr>
        <w:t>Soluzione:</w:t>
      </w:r>
    </w:p>
    <w:p w:rsidR="00A11E9A" w:rsidRPr="009548D3" w:rsidRDefault="00A11E9A" w:rsidP="00A11E9A">
      <w:pPr>
        <w:rPr>
          <w:u w:val="single"/>
        </w:rPr>
      </w:pPr>
    </w:p>
    <w:p w:rsidR="00A11E9A" w:rsidRDefault="00A11E9A" w:rsidP="00A11E9A">
      <w:pPr>
        <w:jc w:val="left"/>
      </w:pPr>
      <w:r>
        <w:t xml:space="preserve">1) Ovviamente la relazione tra la tensione misurata </w:t>
      </w:r>
      <w:r>
        <w:rPr>
          <w:position w:val="-12"/>
        </w:rPr>
        <w:object w:dxaOrig="300" w:dyaOrig="360">
          <v:shape id="_x0000_i1038" type="#_x0000_t75" style="width:15.15pt;height:18.15pt" o:ole="">
            <v:imagedata r:id="rId12" o:title=""/>
          </v:shape>
          <o:OLEObject Type="Embed" ProgID="Equation.DSMT4" ShapeID="_x0000_i1038" DrawAspect="Content" ObjectID="_1709026263" r:id="rId27"/>
        </w:object>
      </w:r>
      <w:r>
        <w:t xml:space="preserve"> e la tensione incognita </w:t>
      </w:r>
      <w:r>
        <w:rPr>
          <w:position w:val="-12"/>
        </w:rPr>
        <w:object w:dxaOrig="260" w:dyaOrig="360">
          <v:shape id="_x0000_i1039" type="#_x0000_t75" style="width:12.7pt;height:18.15pt" o:ole="">
            <v:imagedata r:id="rId5" o:title=""/>
          </v:shape>
          <o:OLEObject Type="Embed" ProgID="Equation.DSMT4" ShapeID="_x0000_i1039" DrawAspect="Content" ObjectID="_1709026264" r:id="rId28"/>
        </w:object>
      </w:r>
      <w:r>
        <w:t xml:space="preserve"> è</w:t>
      </w:r>
    </w:p>
    <w:p w:rsidR="00A11E9A" w:rsidRDefault="00A11E9A" w:rsidP="00A11E9A">
      <w:pPr>
        <w:pStyle w:val="equazione"/>
      </w:pPr>
      <w:r w:rsidRPr="001F793D">
        <w:rPr>
          <w:position w:val="-30"/>
        </w:rPr>
        <w:object w:dxaOrig="2280" w:dyaOrig="680">
          <v:shape id="_x0000_i1040" type="#_x0000_t75" style="width:114.05pt;height:33.9pt" o:ole="">
            <v:imagedata r:id="rId29" o:title=""/>
          </v:shape>
          <o:OLEObject Type="Embed" ProgID="Equation.DSMT4" ShapeID="_x0000_i1040" DrawAspect="Content" ObjectID="_1709026265" r:id="rId30"/>
        </w:object>
      </w:r>
      <w:r w:rsidRPr="001F793D">
        <w:rPr>
          <w:position w:val="-32"/>
          <w:bdr w:val="single" w:sz="4" w:space="0" w:color="auto"/>
        </w:rPr>
        <w:object w:dxaOrig="4500" w:dyaOrig="760">
          <v:shape id="_x0000_i1041" type="#_x0000_t75" style="width:225.1pt;height:38.1pt" o:ole="">
            <v:imagedata r:id="rId31" o:title=""/>
          </v:shape>
          <o:OLEObject Type="Embed" ProgID="Equation.DSMT4" ShapeID="_x0000_i1041" DrawAspect="Content" ObjectID="_1709026266" r:id="rId32"/>
        </w:object>
      </w:r>
      <w:r w:rsidRPr="001F793D">
        <w:rPr>
          <w:bdr w:val="single" w:sz="4" w:space="0" w:color="auto"/>
        </w:rPr>
        <w:t>=2 V</w:t>
      </w:r>
    </w:p>
    <w:p w:rsidR="00A11E9A" w:rsidRDefault="00A11E9A" w:rsidP="00A11E9A">
      <w:pPr>
        <w:jc w:val="left"/>
      </w:pPr>
      <w:r>
        <w:t>Poiché le grandezze in gioco sono affette da errori indipendenti, l’incertezza di misura di caso peggiore si valuta facilmente applicando la semplice formula</w:t>
      </w:r>
    </w:p>
    <w:p w:rsidR="00A11E9A" w:rsidRDefault="00A11E9A" w:rsidP="00A11E9A">
      <w:pPr>
        <w:jc w:val="left"/>
      </w:pPr>
    </w:p>
    <w:p w:rsidR="00A11E9A" w:rsidRDefault="00A11E9A" w:rsidP="00A11E9A">
      <w:pPr>
        <w:pStyle w:val="equazione"/>
      </w:pPr>
      <w:r>
        <w:rPr>
          <w:position w:val="-32"/>
        </w:rPr>
        <w:object w:dxaOrig="1620" w:dyaOrig="760">
          <v:shape id="_x0000_i1042" type="#_x0000_t75" style="width:81.1pt;height:38.1pt" o:ole="">
            <v:imagedata r:id="rId33" o:title=""/>
          </v:shape>
          <o:OLEObject Type="Embed" ProgID="Equation.DSMT4" ShapeID="_x0000_i1042" DrawAspect="Content" ObjectID="_1709026267" r:id="rId34"/>
        </w:object>
      </w:r>
    </w:p>
    <w:p w:rsidR="00A11E9A" w:rsidRDefault="00A11E9A" w:rsidP="00A11E9A">
      <w:pPr>
        <w:pStyle w:val="equazione"/>
      </w:pPr>
    </w:p>
    <w:p w:rsidR="00A11E9A" w:rsidRDefault="00A11E9A" w:rsidP="00A11E9A">
      <w:pPr>
        <w:jc w:val="left"/>
      </w:pPr>
      <w:r>
        <w:t xml:space="preserve">in cui </w:t>
      </w:r>
      <w:r>
        <w:rPr>
          <w:position w:val="-12"/>
        </w:rPr>
        <w:object w:dxaOrig="1560" w:dyaOrig="360">
          <v:shape id="_x0000_i1043" type="#_x0000_t75" style="width:78.05pt;height:18.15pt" o:ole="">
            <v:imagedata r:id="rId35" o:title=""/>
          </v:shape>
          <o:OLEObject Type="Embed" ProgID="Equation.DSMT4" ShapeID="_x0000_i1043" DrawAspect="Content" ObjectID="_1709026268" r:id="rId36"/>
        </w:object>
      </w:r>
      <w:r>
        <w:t xml:space="preserve"> è la misura indiretta e </w:t>
      </w:r>
      <w:r>
        <w:rPr>
          <w:position w:val="-12"/>
        </w:rPr>
        <w:object w:dxaOrig="320" w:dyaOrig="360">
          <v:shape id="_x0000_i1044" type="#_x0000_t75" style="width:15.75pt;height:18.15pt" o:ole="">
            <v:imagedata r:id="rId37" o:title=""/>
          </v:shape>
          <o:OLEObject Type="Embed" ProgID="Equation.DSMT4" ShapeID="_x0000_i1044" DrawAspect="Content" ObjectID="_1709026269" r:id="rId38"/>
        </w:object>
      </w:r>
      <w:r>
        <w:t xml:space="preserve"> è l’incertezza di caso peggiore di </w:t>
      </w:r>
      <w:r>
        <w:rPr>
          <w:position w:val="-12"/>
        </w:rPr>
        <w:object w:dxaOrig="279" w:dyaOrig="360">
          <v:shape id="_x0000_i1045" type="#_x0000_t75" style="width:14.2pt;height:18.15pt" o:ole="">
            <v:imagedata r:id="rId39" o:title=""/>
          </v:shape>
          <o:OLEObject Type="Embed" ProgID="Equation.DSMT4" ShapeID="_x0000_i1045" DrawAspect="Content" ObjectID="_1709026270" r:id="rId40"/>
        </w:object>
      </w:r>
      <w:r>
        <w:t xml:space="preserve">. Occorre quindi valutare le incertezze assolute </w:t>
      </w:r>
    </w:p>
    <w:p w:rsidR="00A11E9A" w:rsidRDefault="00A11E9A" w:rsidP="00A11E9A">
      <w:pPr>
        <w:jc w:val="left"/>
      </w:pPr>
    </w:p>
    <w:p w:rsidR="00A11E9A" w:rsidRPr="00C95F59" w:rsidRDefault="00A11E9A" w:rsidP="00A11E9A">
      <w:pPr>
        <w:tabs>
          <w:tab w:val="left" w:pos="2552"/>
          <w:tab w:val="left" w:pos="4820"/>
          <w:tab w:val="left" w:pos="7230"/>
        </w:tabs>
        <w:jc w:val="left"/>
      </w:pPr>
      <w:r>
        <w:rPr>
          <w:position w:val="-24"/>
        </w:rPr>
        <w:object w:dxaOrig="1300" w:dyaOrig="620">
          <v:shape id="_x0000_i1046" type="#_x0000_t75" style="width:65.35pt;height:30.85pt" o:ole="">
            <v:imagedata r:id="rId41" o:title=""/>
          </v:shape>
          <o:OLEObject Type="Embed" ProgID="Equation.DSMT4" ShapeID="_x0000_i1046" DrawAspect="Content" ObjectID="_1709026271" r:id="rId42"/>
        </w:object>
      </w:r>
      <w:r w:rsidRPr="00C95F59">
        <w:t>=0.025 V</w:t>
      </w:r>
      <w:r w:rsidRPr="00C95F59">
        <w:tab/>
      </w:r>
      <w:r>
        <w:rPr>
          <w:position w:val="-24"/>
        </w:rPr>
        <w:object w:dxaOrig="1240" w:dyaOrig="620">
          <v:shape id="_x0000_i1047" type="#_x0000_t75" style="width:62.3pt;height:30.85pt" o:ole="">
            <v:imagedata r:id="rId43" o:title=""/>
          </v:shape>
          <o:OLEObject Type="Embed" ProgID="Equation.DSMT4" ShapeID="_x0000_i1047" DrawAspect="Content" ObjectID="_1709026272" r:id="rId44"/>
        </w:object>
      </w:r>
      <w:r w:rsidRPr="00C95F59">
        <w:t>=5 k</w:t>
      </w:r>
      <w:r>
        <w:sym w:font="Symbol" w:char="F057"/>
      </w:r>
      <w:r w:rsidRPr="00C95F59">
        <w:t xml:space="preserve"> </w:t>
      </w:r>
      <w:r w:rsidRPr="00C95F59">
        <w:tab/>
      </w:r>
      <w:r>
        <w:rPr>
          <w:position w:val="-24"/>
        </w:rPr>
        <w:object w:dxaOrig="1280" w:dyaOrig="620">
          <v:shape id="_x0000_i1048" type="#_x0000_t75" style="width:63.85pt;height:30.85pt" o:ole="">
            <v:imagedata r:id="rId45" o:title=""/>
          </v:shape>
          <o:OLEObject Type="Embed" ProgID="Equation.DSMT4" ShapeID="_x0000_i1048" DrawAspect="Content" ObjectID="_1709026273" r:id="rId46"/>
        </w:object>
      </w:r>
      <w:r w:rsidRPr="00C95F59">
        <w:t>=10 k</w:t>
      </w:r>
      <w:r>
        <w:sym w:font="Symbol" w:char="F057"/>
      </w:r>
      <w:r w:rsidRPr="00C95F59">
        <w:tab/>
      </w:r>
      <w:r>
        <w:rPr>
          <w:position w:val="-24"/>
        </w:rPr>
        <w:object w:dxaOrig="1320" w:dyaOrig="620">
          <v:shape id="_x0000_i1049" type="#_x0000_t75" style="width:65.95pt;height:30.85pt" o:ole="">
            <v:imagedata r:id="rId47" o:title=""/>
          </v:shape>
          <o:OLEObject Type="Embed" ProgID="Equation.DSMT4" ShapeID="_x0000_i1049" DrawAspect="Content" ObjectID="_1709026274" r:id="rId48"/>
        </w:object>
      </w:r>
      <w:r w:rsidRPr="00C95F59">
        <w:t>=10 k</w:t>
      </w:r>
      <w:r>
        <w:sym w:font="Symbol" w:char="F057"/>
      </w:r>
    </w:p>
    <w:p w:rsidR="00A11E9A" w:rsidRPr="00C95F59" w:rsidRDefault="00A11E9A" w:rsidP="00A11E9A">
      <w:pPr>
        <w:jc w:val="left"/>
      </w:pPr>
    </w:p>
    <w:p w:rsidR="00A11E9A" w:rsidRDefault="00A11E9A" w:rsidP="00A11E9A">
      <w:pPr>
        <w:jc w:val="left"/>
      </w:pPr>
      <w:r>
        <w:t>E poi le derivate:</w:t>
      </w:r>
    </w:p>
    <w:p w:rsidR="00A11E9A" w:rsidRPr="00C95F59" w:rsidRDefault="00A11E9A" w:rsidP="00A11E9A">
      <w:pPr>
        <w:pStyle w:val="equazione"/>
      </w:pPr>
      <w:r>
        <w:rPr>
          <w:position w:val="-30"/>
        </w:rPr>
        <w:object w:dxaOrig="1820" w:dyaOrig="680">
          <v:shape id="_x0000_i1050" type="#_x0000_t75" style="width:90.75pt;height:33.9pt" o:ole="">
            <v:imagedata r:id="rId49" o:title=""/>
          </v:shape>
          <o:OLEObject Type="Embed" ProgID="Equation.DSMT4" ShapeID="_x0000_i1050" DrawAspect="Content" ObjectID="_1709026275" r:id="rId50"/>
        </w:object>
      </w:r>
      <w:r w:rsidRPr="00C95F59">
        <w:t>=1.6</w:t>
      </w:r>
      <w:r w:rsidRPr="00C95F59">
        <w:tab/>
      </w:r>
      <w:r w:rsidRPr="00C95F59">
        <w:tab/>
      </w:r>
      <w:r>
        <w:rPr>
          <w:position w:val="-32"/>
        </w:rPr>
        <w:object w:dxaOrig="2000" w:dyaOrig="760">
          <v:shape id="_x0000_i1051" type="#_x0000_t75" style="width:99.85pt;height:38.1pt" o:ole="">
            <v:imagedata r:id="rId51" o:title=""/>
          </v:shape>
          <o:OLEObject Type="Embed" ProgID="Equation.DSMT4" ShapeID="_x0000_i1051" DrawAspect="Content" ObjectID="_1709026276" r:id="rId52"/>
        </w:object>
      </w:r>
      <w:r w:rsidRPr="00C95F59">
        <w:t xml:space="preserve">=0.0075V </w:t>
      </w:r>
      <w:r w:rsidR="000609F8">
        <w:t>(</w:t>
      </w:r>
      <w:r w:rsidRPr="00C95F59">
        <w:t>k</w:t>
      </w:r>
      <w:r>
        <w:sym w:font="Symbol" w:char="F057"/>
      </w:r>
      <w:r w:rsidRPr="00C95F59">
        <w:t>)</w:t>
      </w:r>
      <w:r w:rsidRPr="00C95F59">
        <w:rPr>
          <w:vertAlign w:val="superscript"/>
        </w:rPr>
        <w:t>-1</w:t>
      </w:r>
    </w:p>
    <w:p w:rsidR="00A11E9A" w:rsidRPr="00C95F59" w:rsidRDefault="00A11E9A" w:rsidP="00A11E9A">
      <w:pPr>
        <w:pStyle w:val="equazione"/>
      </w:pPr>
      <w:r>
        <w:rPr>
          <w:position w:val="-30"/>
        </w:rPr>
        <w:object w:dxaOrig="1420" w:dyaOrig="680">
          <v:shape id="_x0000_i1052" type="#_x0000_t75" style="width:71.4pt;height:33.9pt" o:ole="">
            <v:imagedata r:id="rId53" o:title=""/>
          </v:shape>
          <o:OLEObject Type="Embed" ProgID="Equation.DSMT4" ShapeID="_x0000_i1052" DrawAspect="Content" ObjectID="_1709026277" r:id="rId54"/>
        </w:object>
      </w:r>
      <w:r w:rsidRPr="00C95F59">
        <w:t>=</w:t>
      </w:r>
      <w:r>
        <w:sym w:font="Symbol" w:char="F02D"/>
      </w:r>
      <w:r w:rsidR="000609F8">
        <w:t xml:space="preserve">0.003125 </w:t>
      </w:r>
      <w:r w:rsidRPr="00C95F59">
        <w:t xml:space="preserve">V </w:t>
      </w:r>
      <w:r w:rsidR="000609F8">
        <w:t>(</w:t>
      </w:r>
      <w:r w:rsidRPr="00C95F59">
        <w:t>k</w:t>
      </w:r>
      <w:r>
        <w:sym w:font="Symbol" w:char="F057"/>
      </w:r>
      <w:r w:rsidRPr="00C95F59">
        <w:t>)</w:t>
      </w:r>
      <w:r w:rsidRPr="00C95F59">
        <w:rPr>
          <w:vertAlign w:val="superscript"/>
        </w:rPr>
        <w:t>-1</w:t>
      </w:r>
      <w:r w:rsidRPr="00C95F59">
        <w:tab/>
      </w:r>
      <w:r>
        <w:rPr>
          <w:position w:val="-30"/>
        </w:rPr>
        <w:object w:dxaOrig="1440" w:dyaOrig="680">
          <v:shape id="_x0000_i1053" type="#_x0000_t75" style="width:1in;height:33.9pt" o:ole="">
            <v:imagedata r:id="rId55" o:title=""/>
          </v:shape>
          <o:OLEObject Type="Embed" ProgID="Equation.DSMT4" ShapeID="_x0000_i1053" DrawAspect="Content" ObjectID="_1709026278" r:id="rId56"/>
        </w:object>
      </w:r>
      <w:r w:rsidRPr="00C95F59">
        <w:t>=</w:t>
      </w:r>
      <w:r>
        <w:sym w:font="Symbol" w:char="F02D"/>
      </w:r>
      <w:r w:rsidR="000609F8">
        <w:t xml:space="preserve">0.000125 </w:t>
      </w:r>
      <w:r w:rsidRPr="00C95F59">
        <w:t xml:space="preserve">V </w:t>
      </w:r>
      <w:r w:rsidR="000609F8">
        <w:t>(</w:t>
      </w:r>
      <w:r w:rsidRPr="00C95F59">
        <w:t>k</w:t>
      </w:r>
      <w:r>
        <w:sym w:font="Symbol" w:char="F057"/>
      </w:r>
      <w:r w:rsidRPr="00C95F59">
        <w:t>)</w:t>
      </w:r>
      <w:r w:rsidRPr="00C95F59">
        <w:rPr>
          <w:vertAlign w:val="superscript"/>
        </w:rPr>
        <w:t>-1</w:t>
      </w:r>
    </w:p>
    <w:p w:rsidR="00A11E9A" w:rsidRDefault="00A11E9A" w:rsidP="00A11E9A">
      <w:pPr>
        <w:jc w:val="left"/>
      </w:pPr>
      <w:r>
        <w:t>Risulta quindi</w:t>
      </w:r>
    </w:p>
    <w:p w:rsidR="00A11E9A" w:rsidRDefault="00A11E9A" w:rsidP="00A11E9A">
      <w:pPr>
        <w:pStyle w:val="equazione"/>
      </w:pPr>
      <w:r>
        <w:rPr>
          <w:position w:val="-32"/>
        </w:rPr>
        <w:object w:dxaOrig="1460" w:dyaOrig="760">
          <v:shape id="_x0000_i1054" type="#_x0000_t75" style="width:72.9pt;height:38.1pt" o:ole="">
            <v:imagedata r:id="rId57" o:title=""/>
          </v:shape>
          <o:OLEObject Type="Embed" ProgID="Equation.DSMT4" ShapeID="_x0000_i1054" DrawAspect="Content" ObjectID="_1709026279" r:id="rId58"/>
        </w:object>
      </w:r>
      <w:r>
        <w:t>=0.04 V</w:t>
      </w:r>
      <w:r>
        <w:tab/>
      </w:r>
      <w:r>
        <w:tab/>
      </w:r>
      <w:r>
        <w:rPr>
          <w:position w:val="-32"/>
        </w:rPr>
        <w:object w:dxaOrig="1400" w:dyaOrig="760">
          <v:shape id="_x0000_i1055" type="#_x0000_t75" style="width:69.6pt;height:38.1pt" o:ole="">
            <v:imagedata r:id="rId59" o:title=""/>
          </v:shape>
          <o:OLEObject Type="Embed" ProgID="Equation.DSMT4" ShapeID="_x0000_i1055" DrawAspect="Content" ObjectID="_1709026280" r:id="rId60"/>
        </w:object>
      </w:r>
      <w:r>
        <w:t>=0.0375 V</w:t>
      </w:r>
    </w:p>
    <w:p w:rsidR="00A11E9A" w:rsidRDefault="00A11E9A" w:rsidP="00A11E9A">
      <w:pPr>
        <w:pStyle w:val="equazione"/>
      </w:pPr>
      <w:r>
        <w:rPr>
          <w:position w:val="-32"/>
        </w:rPr>
        <w:object w:dxaOrig="1420" w:dyaOrig="760">
          <v:shape id="_x0000_i1056" type="#_x0000_t75" style="width:71.4pt;height:38.1pt" o:ole="">
            <v:imagedata r:id="rId61" o:title=""/>
          </v:shape>
          <o:OLEObject Type="Embed" ProgID="Equation.DSMT4" ShapeID="_x0000_i1056" DrawAspect="Content" ObjectID="_1709026281" r:id="rId62"/>
        </w:object>
      </w:r>
      <w:r>
        <w:t>=0.03152 V</w:t>
      </w:r>
      <w:r>
        <w:tab/>
      </w:r>
      <w:r>
        <w:tab/>
      </w:r>
      <w:r>
        <w:rPr>
          <w:position w:val="-32"/>
        </w:rPr>
        <w:object w:dxaOrig="1480" w:dyaOrig="760">
          <v:shape id="_x0000_i1057" type="#_x0000_t75" style="width:74.1pt;height:38.1pt" o:ole="">
            <v:imagedata r:id="rId63" o:title=""/>
          </v:shape>
          <o:OLEObject Type="Embed" ProgID="Equation.DSMT4" ShapeID="_x0000_i1057" DrawAspect="Content" ObjectID="_1709026282" r:id="rId64"/>
        </w:object>
      </w:r>
      <w:r>
        <w:t>=0.00125 V</w:t>
      </w:r>
    </w:p>
    <w:p w:rsidR="00A11E9A" w:rsidRDefault="00A11E9A" w:rsidP="00A11E9A">
      <w:pPr>
        <w:pStyle w:val="Formula"/>
      </w:pPr>
      <w:r>
        <w:rPr>
          <w:position w:val="-32"/>
        </w:rPr>
        <w:object w:dxaOrig="6740" w:dyaOrig="760">
          <v:shape id="_x0000_i1058" type="#_x0000_t75" style="width:336.7pt;height:38.1pt" o:ole="">
            <v:imagedata r:id="rId65" o:title=""/>
          </v:shape>
          <o:OLEObject Type="Embed" ProgID="Equation.DSMT4" ShapeID="_x0000_i1058" DrawAspect="Content" ObjectID="_1709026283" r:id="rId66"/>
        </w:object>
      </w:r>
      <w:r>
        <w:t>=0.11 V</w:t>
      </w:r>
    </w:p>
    <w:p w:rsidR="00A11E9A" w:rsidRDefault="00A11E9A" w:rsidP="00A11E9A">
      <w:pPr>
        <w:jc w:val="left"/>
      </w:pPr>
    </w:p>
    <w:p w:rsidR="00A11E9A" w:rsidRPr="004C6B28" w:rsidRDefault="00A11E9A" w:rsidP="00A11E9A">
      <w:pPr>
        <w:pStyle w:val="Titolo2"/>
        <w:jc w:val="both"/>
        <w:rPr>
          <w:u w:val="none"/>
        </w:rPr>
      </w:pPr>
      <w:r w:rsidRPr="004C6B28">
        <w:rPr>
          <w:u w:val="none"/>
        </w:rPr>
        <w:t xml:space="preserve">2) Considerando che gli errori sono indipendenti e che le incertezze standard sono </w:t>
      </w:r>
      <w:r w:rsidRPr="004C6B28">
        <w:rPr>
          <w:position w:val="-14"/>
          <w:u w:val="none"/>
        </w:rPr>
        <w:object w:dxaOrig="1400" w:dyaOrig="420">
          <v:shape id="_x0000_i1059" type="#_x0000_t75" style="width:69.6pt;height:20.85pt" o:ole="">
            <v:imagedata r:id="rId67" o:title=""/>
          </v:shape>
          <o:OLEObject Type="Embed" ProgID="Equation.DSMT4" ShapeID="_x0000_i1059" DrawAspect="Content" ObjectID="_1709026284" r:id="rId68"/>
        </w:object>
      </w:r>
      <w:r w:rsidRPr="004C6B28">
        <w:rPr>
          <w:u w:val="none"/>
        </w:rPr>
        <w:t xml:space="preserve"> ecc. (le distribuzioni degli errori si devono supporre rettangolari in assenza di altre informazioni), l’incertezza standard della misura indiretta è data da</w:t>
      </w:r>
    </w:p>
    <w:p w:rsidR="00A11E9A" w:rsidRPr="004C6B28" w:rsidRDefault="00A11E9A" w:rsidP="00A11E9A">
      <w:pPr>
        <w:pStyle w:val="Formula"/>
        <w:ind w:firstLine="426"/>
      </w:pPr>
      <w:r w:rsidRPr="004C6B28">
        <w:rPr>
          <w:position w:val="-40"/>
        </w:rPr>
        <w:object w:dxaOrig="7960" w:dyaOrig="960">
          <v:shape id="_x0000_i1060" type="#_x0000_t75" style="width:398.4pt;height:48.1pt" o:ole="">
            <v:imagedata r:id="rId69" o:title=""/>
          </v:shape>
          <o:OLEObject Type="Embed" ProgID="Equation.DSMT4" ShapeID="_x0000_i1060" DrawAspect="Content" ObjectID="_1709026285" r:id="rId70"/>
        </w:object>
      </w:r>
      <w:r w:rsidRPr="004C6B28">
        <w:t>=0.036 V</w:t>
      </w:r>
    </w:p>
    <w:p w:rsidR="00A11E9A" w:rsidRDefault="00A11E9A" w:rsidP="00A11E9A">
      <w:r>
        <w:t>La distribuzione dell’errore è a rigore la convoluzione di quattro distribuzioni rettangolari: poiché le ampiezze di tre delle quattro distribuzioni (</w:t>
      </w:r>
      <w:r>
        <w:rPr>
          <w:position w:val="-12"/>
        </w:rPr>
        <w:object w:dxaOrig="1100" w:dyaOrig="360">
          <v:shape id="_x0000_i1061" type="#_x0000_t75" style="width:54.75pt;height:18.15pt" o:ole="">
            <v:imagedata r:id="rId71" o:title=""/>
          </v:shape>
          <o:OLEObject Type="Embed" ProgID="Equation.DSMT4" ShapeID="_x0000_i1061" DrawAspect="Content" ObjectID="_1709026286" r:id="rId72"/>
        </w:object>
      </w:r>
      <w:r>
        <w:t>) sono tra loro confrontabili, la distribuzione complessiva può essere considerata approssimativamente gaussiana.</w:t>
      </w:r>
    </w:p>
    <w:p w:rsidR="00DF0BD1" w:rsidRDefault="00DF0BD1"/>
    <w:p w:rsidR="00F24208" w:rsidRDefault="00F24208"/>
    <w:sectPr w:rsidR="00F242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51E6"/>
    <w:multiLevelType w:val="hybridMultilevel"/>
    <w:tmpl w:val="49A81F5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8E5906"/>
    <w:multiLevelType w:val="hybridMultilevel"/>
    <w:tmpl w:val="05C49432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E215A4B"/>
    <w:multiLevelType w:val="hybridMultilevel"/>
    <w:tmpl w:val="C9A09D0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9A"/>
    <w:rsid w:val="000609F8"/>
    <w:rsid w:val="002812D6"/>
    <w:rsid w:val="004F422F"/>
    <w:rsid w:val="00641C4F"/>
    <w:rsid w:val="00A11E9A"/>
    <w:rsid w:val="00BD7FB9"/>
    <w:rsid w:val="00DF0BD1"/>
    <w:rsid w:val="00F2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6C3491"/>
  <w15:docId w15:val="{FDF00BF1-7417-4DAE-9E91-19B3F017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E9A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it-IT" w:bidi="he-IL"/>
    </w:rPr>
  </w:style>
  <w:style w:type="paragraph" w:styleId="Titolo2">
    <w:name w:val="heading 2"/>
    <w:basedOn w:val="Normale"/>
    <w:next w:val="Normale"/>
    <w:link w:val="Titolo2Carattere"/>
    <w:qFormat/>
    <w:rsid w:val="00A11E9A"/>
    <w:pPr>
      <w:keepNext/>
      <w:jc w:val="left"/>
      <w:outlineLvl w:val="1"/>
    </w:pPr>
    <w:rPr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A11E9A"/>
    <w:rPr>
      <w:rFonts w:ascii="Times New Roman" w:eastAsia="Times New Roman" w:hAnsi="Times New Roman" w:cs="Times New Roman"/>
      <w:sz w:val="24"/>
      <w:szCs w:val="20"/>
      <w:u w:val="single"/>
      <w:lang w:eastAsia="it-IT" w:bidi="he-IL"/>
    </w:rPr>
  </w:style>
  <w:style w:type="paragraph" w:customStyle="1" w:styleId="equazione">
    <w:name w:val="equazione"/>
    <w:basedOn w:val="Normale"/>
    <w:rsid w:val="00A11E9A"/>
    <w:pPr>
      <w:spacing w:before="60" w:after="60"/>
    </w:pPr>
  </w:style>
  <w:style w:type="paragraph" w:customStyle="1" w:styleId="Formula">
    <w:name w:val="Formula"/>
    <w:basedOn w:val="equazione"/>
    <w:rsid w:val="00A11E9A"/>
    <w:pPr>
      <w:ind w:firstLine="709"/>
    </w:pPr>
    <w:rPr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16" Type="http://schemas.openxmlformats.org/officeDocument/2006/relationships/image" Target="media/image5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customXml" Target="../customXml/item3.xml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customXml" Target="../customXml/item2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AEE8F2777B8141BF67AC8C5D0AD4E6" ma:contentTypeVersion="6" ma:contentTypeDescription="Creare un nuovo documento." ma:contentTypeScope="" ma:versionID="cbe7379c9054b4208db9f154d235bf16">
  <xsd:schema xmlns:xsd="http://www.w3.org/2001/XMLSchema" xmlns:xs="http://www.w3.org/2001/XMLSchema" xmlns:p="http://schemas.microsoft.com/office/2006/metadata/properties" xmlns:ns2="b8831d86-5d80-46f4-8bf2-0bfabee79c07" targetNamespace="http://schemas.microsoft.com/office/2006/metadata/properties" ma:root="true" ma:fieldsID="89329d86e0b8f53c2484812040c3745c" ns2:_="">
    <xsd:import namespace="b8831d86-5d80-46f4-8bf2-0bfabee79c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31d86-5d80-46f4-8bf2-0bfabee79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41D68-1464-49D5-8C44-A72DFB315676}"/>
</file>

<file path=customXml/itemProps2.xml><?xml version="1.0" encoding="utf-8"?>
<ds:datastoreItem xmlns:ds="http://schemas.openxmlformats.org/officeDocument/2006/customXml" ds:itemID="{3AB777FE-F444-495B-BB46-159487164E4E}"/>
</file>

<file path=customXml/itemProps3.xml><?xml version="1.0" encoding="utf-8"?>
<ds:datastoreItem xmlns:ds="http://schemas.openxmlformats.org/officeDocument/2006/customXml" ds:itemID="{B7C565C3-F858-4A05-B616-D2F07EBCE7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Andrea Cataldo</cp:lastModifiedBy>
  <cp:revision>4</cp:revision>
  <dcterms:created xsi:type="dcterms:W3CDTF">2022-03-17T11:40:00Z</dcterms:created>
  <dcterms:modified xsi:type="dcterms:W3CDTF">2022-03-17T11:42:00Z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0x010100D9AEE8F2777B8141BF67AC8C5D0AD4E6</vt:lpwstr>
  </property>
</Properties>
</file>