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B2545"/>
          <w:sz w:val="44"/>
        </w:rPr>
        <w:t>Análisis PESTEL Integrado</w:t>
      </w:r>
    </w:p>
    <w:p>
      <w:pPr>
        <w:spacing w:after="240"/>
        <w:jc w:val="center"/>
      </w:pPr>
      <w:r>
        <w:rPr>
          <w:i/>
          <w:color w:val="666666"/>
          <w:sz w:val="26"/>
        </w:rPr>
        <w:t>Ingeniería Económica - Argentina 2026</w:t>
      </w:r>
    </w:p>
    <w:p>
      <w:pPr>
        <w:spacing w:after="40"/>
      </w:pPr>
      <w:r>
        <w:rPr>
          <w:b/>
          <w:color w:val="0B2545"/>
        </w:rPr>
        <w:t xml:space="preserve">Tema integrador: </w:t>
      </w:r>
      <w:r>
        <w:t>PBI, comercio internacional, flujo de inversiones, salarios, pobreza, innovación y marco institucional argentino.</w:t>
      </w:r>
    </w:p>
    <w:p>
      <w:pPr>
        <w:spacing w:after="40"/>
      </w:pPr>
      <w:r>
        <w:rPr>
          <w:b/>
          <w:color w:val="0B2545"/>
        </w:rPr>
        <w:t xml:space="preserve">Base documental: </w:t>
      </w:r>
      <w:r>
        <w:t>Presentaciones e informes de Ingeniería Económica provistos por el alumno en Desktop.</w:t>
      </w:r>
    </w:p>
    <w:p>
      <w:pPr>
        <w:spacing w:after="40"/>
      </w:pPr>
      <w:r>
        <w:rPr>
          <w:b/>
          <w:color w:val="0B2545"/>
        </w:rPr>
        <w:t xml:space="preserve">Enfoque: </w:t>
      </w:r>
      <w:r>
        <w:t>Diagnóstico estratégico del entorno macroeconómico argentino usando la matriz PESTEL.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9360"/>
      </w:tblGrid>
      <w:tr>
        <w:tc>
          <w:tcPr>
            <w:tcW w:type="dxa" w:w="9360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0B2545"/>
              </w:rPr>
              <w:t>Idea fuerza</w:t>
            </w:r>
          </w:p>
          <w:p>
            <w:pPr>
              <w:spacing w:after="0"/>
            </w:pPr>
            <w:r>
              <w:t>Argentina posee recursos productivos, capital humano y sectores exportadores con potencial, pero su crecimiento queda condicionado por inflación, restricción externa, baja inversión, informalidad, desigualdad social y reglas institucionales inestables.</w:t>
            </w:r>
          </w:p>
        </w:tc>
      </w:tr>
    </w:tbl>
    <w:p>
      <w:pPr>
        <w:pStyle w:val="Heading1"/>
        <w:spacing w:before="280" w:after="120"/>
      </w:pPr>
      <w:r>
        <w:rPr>
          <w:color w:val="1F4E79"/>
        </w:rPr>
        <w:t>Matriz PESTEL</w:t>
      </w:r>
    </w:p>
    <w:p>
      <w:pPr>
        <w:spacing w:after="160"/>
      </w:pPr>
      <w:r>
        <w:t>La matriz sintetiza los factores externos que condicionan el desempeño económico argentino y la toma de decisiones de inversión. Integra los ejes trabajados en los materiales: PBI, comercio internacional, inversión, salarios, pobreza, propiedad intelectual y economía del conocimiento.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44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Factor</w:t>
            </w:r>
          </w:p>
        </w:tc>
        <w:tc>
          <w:tcPr>
            <w:tcW w:type="dxa" w:w="266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Aspectos clave</w:t>
            </w:r>
          </w:p>
        </w:tc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Impacto económico</w:t>
            </w:r>
          </w:p>
        </w:tc>
        <w:tc>
          <w:tcPr>
            <w:tcW w:type="dxa" w:w="237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Riesgos principales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0B2545"/>
              </w:rPr>
              <w:t>Político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Estabilidad macro, política fiscal, credibilidad institucional, programas sociales y orientación del Estado.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El orden fiscal y monetario puede mejorar expectativas, pero si el ajuste reduce inversión pública o protección social puede limitar actividad y bienestar.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Riesgo país, conflictividad distributiva, continuidad de reglas, sesgo del gasto y capacidad estatal.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0B2545"/>
              </w:rPr>
              <w:t>Económico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Inflación, PBI real, inversión, balanza de pagos, salarios reales, crédito y restricción externa.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 economía puede rebotar, pero necesita inversión y divisas estables. El superávit comercial no alcanza si servicios, rentas e importaciones presionan la cuenta corriente.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Inflación persistente, falta de reservas, baja inversión, volatilidad cambiaria y caída del salario real.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0B2545"/>
              </w:rPr>
              <w:t>Social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Pobreza, informalidad, desigualdad regional, capital humano, empleo formal y salarios.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El crecimiento del PBI no garantiza bienestar si convive con pobreza infantil, empleo informal o pérdida de poder adquisitivo.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Trabajador pobre, informalidad superior al 40%, baja cobertura social, pobreza infantil y brecha educativa.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0B2545"/>
              </w:rPr>
              <w:t>Tecnológico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Software, servicios basados en conocimiento, IA, I+D, infraestructura digital y propiedad intelectual.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 economía del conocimiento puede generar divisas y empleo calificado, pero la brecha digital limita el derrame hacia sectores vulnerables.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Fuga de talento, baja escala de I+D, rezago 5G, ciberseguridad, patentes y regulación de IA.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0B2545"/>
              </w:rPr>
              <w:t>Ecológico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Sequías, clima, agro, energía, minería, litio, ESG, data centers y uso de recursos.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El ambiente afecta directamente exportaciones, disponibilidad de divisas y PBI. También abre oportunidades en energía, minería, AgTech y transición energética.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Sequías, estrés hídrico, consumo energético de IA/data centers, conflictos socioambientales y exigencias ESG.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0B2545"/>
              </w:rPr>
              <w:t>Legal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Seguridad jurídica, régimen tributario, reglas laborales, propiedad intelectual, RIGI/RIMI y regulaciones cambiarias.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Las reglas definen costos, incentivos y horizontes de inversión. Regímenes promocionales ayudan, pero no reemplazan estabilidad macro e institucional.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Presión tributaria, litigiosidad laboral, cambios normativos, demoras del INPI y complejidad administrativa.</w:t>
            </w:r>
          </w:p>
        </w:tc>
      </w:tr>
    </w:tbl>
    <w:p/>
    <w:p>
      <w:pPr>
        <w:pStyle w:val="Heading1"/>
        <w:spacing w:before="280" w:after="120"/>
      </w:pPr>
      <w:r>
        <w:rPr>
          <w:color w:val="1F4E79"/>
        </w:rPr>
        <w:t>Desarrollo por factor</w:t>
      </w:r>
    </w:p>
    <w:p>
      <w:pPr>
        <w:pStyle w:val="Heading2"/>
        <w:spacing w:before="200" w:after="80"/>
      </w:pPr>
      <w:r>
        <w:rPr>
          <w:color w:val="1F4E79"/>
        </w:rPr>
        <w:t>Político</w:t>
      </w:r>
    </w:p>
    <w:p>
      <w:pPr>
        <w:pStyle w:val="ListBullet"/>
        <w:spacing w:after="80"/>
      </w:pPr>
      <w:r>
        <w:t>El entorno político incide sobre inversión, consumo y financiamiento porque define expectativas sobre política fiscal, monetaria y cambiaria.</w:t>
      </w:r>
    </w:p>
    <w:p>
      <w:pPr>
        <w:pStyle w:val="ListBullet"/>
        <w:spacing w:after="80"/>
      </w:pPr>
      <w:r>
        <w:t>Los materiales de PBI remarcan que la estabilidad puede crear condiciones para crecimiento sostenible, pero el ajuste fiscal concentrado en gasto e inversión pública puede enfriar la actividad en el corto plazo.</w:t>
      </w:r>
    </w:p>
    <w:p>
      <w:pPr>
        <w:pStyle w:val="ListBullet"/>
        <w:spacing w:after="80"/>
      </w:pPr>
      <w:r>
        <w:t>En pobreza, el Estado aparece como actor necesario para corregir fallas de mercado: transferencias como AUH y Tarjeta Alimentar reducen indigencia, aunque persiste un sesgo del gasto hacia adultos mayores frente a la pobreza infantil.</w:t>
      </w:r>
    </w:p>
    <w:p>
      <w:pPr>
        <w:pStyle w:val="ListBullet"/>
        <w:spacing w:after="80"/>
      </w:pPr>
      <w:r>
        <w:t>En comercio internacional, la restricción externa exige políticas de largo plazo: no alcanza con superávit de bienes si la cuenta corriente se deteriora por servicios, turismo emisivo y renta de inversión.</w:t>
      </w:r>
    </w:p>
    <w:p>
      <w:pPr>
        <w:pStyle w:val="Heading2"/>
        <w:spacing w:before="200" w:after="80"/>
      </w:pPr>
      <w:r>
        <w:rPr>
          <w:color w:val="1F4E79"/>
        </w:rPr>
        <w:t>Económico</w:t>
      </w:r>
    </w:p>
    <w:p>
      <w:pPr>
        <w:pStyle w:val="ListBullet"/>
        <w:spacing w:after="80"/>
      </w:pPr>
      <w:r>
        <w:t>El PBI es útil para medir producción, pero no alcanza para evaluar bienestar: no muestra distribución del ingreso, informalidad, trabajo doméstico no remunerado ni costos ambientales.</w:t>
      </w:r>
    </w:p>
    <w:p>
      <w:pPr>
        <w:pStyle w:val="ListBullet"/>
        <w:spacing w:after="80"/>
      </w:pPr>
      <w:r>
        <w:t>La economía argentina muestra volatilidad histórica: expansión, crisis, rebotes y nuevas caídas. En 2025 se observa recuperación parcial del PBI real cercana al 4,4%, pero heterogénea entre sectores.</w:t>
      </w:r>
    </w:p>
    <w:p>
      <w:pPr>
        <w:pStyle w:val="ListBullet"/>
        <w:spacing w:after="80"/>
      </w:pPr>
      <w:r>
        <w:t>El sector externo es una restricción central: marzo de 2026 muestra exportaciones por USD 8.645 millones y saldo comercial positivo, pero el informe de comercio advierte que la cuenta corriente puede seguir frágil por servicios y rentas.</w:t>
      </w:r>
    </w:p>
    <w:p>
      <w:pPr>
        <w:pStyle w:val="ListBullet"/>
        <w:spacing w:after="80"/>
      </w:pPr>
      <w:r>
        <w:t>La inflación reduce salario real, encarece la canasta básica y distorsiona decisiones de inversión. Los materiales de PBI mencionan una inflación proyectada por el FMI de 30,4% anual para 2026 y un IPC de marzo de 2026 de 3,4%.</w:t>
      </w:r>
    </w:p>
    <w:p>
      <w:pPr>
        <w:pStyle w:val="ListBullet"/>
        <w:spacing w:after="80"/>
      </w:pPr>
      <w:r>
        <w:t>En inversión, el uso de VAN, TIR, flujo de fondos, costo de oportunidad y tasa de descuento resulta clave para decidir proyectos en contextos de riesgo, inflación y volatilidad.</w:t>
      </w:r>
    </w:p>
    <w:p>
      <w:pPr>
        <w:pStyle w:val="Heading2"/>
        <w:spacing w:before="200" w:after="80"/>
      </w:pPr>
      <w:r>
        <w:rPr>
          <w:color w:val="1F4E79"/>
        </w:rPr>
        <w:t>Social</w:t>
      </w:r>
    </w:p>
    <w:p>
      <w:pPr>
        <w:pStyle w:val="ListBullet"/>
        <w:spacing w:after="80"/>
      </w:pPr>
      <w:r>
        <w:t>La pobreza se presenta como fenómeno multidimensional: ingresos insuficientes, falta de activos, déficit habitacional, inseguridad alimentaria, baja cobertura de salud y vulnerabilidad ante shocks.</w:t>
      </w:r>
    </w:p>
    <w:p>
      <w:pPr>
        <w:pStyle w:val="ListBullet"/>
        <w:spacing w:after="80"/>
      </w:pPr>
      <w:r>
        <w:t>El material sobre pobreza destaca una tasa oficial de pobreza de 28,2% e indigencia de 6,3% para el segundo semestre de 2025, pero con pobreza infantil urbana de 53,6%, lo que compromete el capital humano futuro.</w:t>
      </w:r>
    </w:p>
    <w:p>
      <w:pPr>
        <w:pStyle w:val="ListBullet"/>
        <w:spacing w:after="80"/>
      </w:pPr>
      <w:r>
        <w:t>El mercado laboral muestra una brecha marcada: pocos empleos privados formales sostienen una estructura amplia, mientras la informalidad limita productividad, protección social y recaudación.</w:t>
      </w:r>
    </w:p>
    <w:p>
      <w:pPr>
        <w:pStyle w:val="ListBullet"/>
        <w:spacing w:after="80"/>
      </w:pPr>
      <w:r>
        <w:t>El informe de salarios IT muestra que sectores de alta productividad pueden pagar remuneraciones muy superiores al promedio, especialmente cuando exportan servicios; el contraste con trabajadores informales refuerza la segmentación social.</w:t>
      </w:r>
    </w:p>
    <w:p>
      <w:pPr>
        <w:pStyle w:val="ListBullet"/>
        <w:spacing w:after="80"/>
      </w:pPr>
      <w:r>
        <w:t>La recuperación del PBI solo se transforma en bienestar si mejora el empleo formal, el salario real, la educación, la salud y el acceso a infraestructura básica.</w:t>
      </w:r>
    </w:p>
    <w:p>
      <w:pPr>
        <w:pStyle w:val="Heading2"/>
        <w:spacing w:before="200" w:after="80"/>
      </w:pPr>
      <w:r>
        <w:rPr>
          <w:color w:val="1F4E79"/>
        </w:rPr>
        <w:t>Tecnológico</w:t>
      </w:r>
    </w:p>
    <w:p>
      <w:pPr>
        <w:pStyle w:val="ListBullet"/>
        <w:spacing w:after="80"/>
      </w:pPr>
      <w:r>
        <w:t>La tecnología aparece como oportunidad de productividad y exportación. El sector SSI transforma talento en divisas y puede aliviar la restricción externa mediante servicios de alto valor agregado.</w:t>
      </w:r>
    </w:p>
    <w:p>
      <w:pPr>
        <w:pStyle w:val="ListBullet"/>
        <w:spacing w:after="80"/>
      </w:pPr>
      <w:r>
        <w:t>Los materiales de comercio mencionan exportaciones SSI por USD 2.449 millones en 2023, crecimiento anual relevante entre 2015 y 2022 y un rol potencial en diversificación exportadora.</w:t>
      </w:r>
    </w:p>
    <w:p>
      <w:pPr>
        <w:pStyle w:val="ListBullet"/>
        <w:spacing w:after="80"/>
      </w:pPr>
      <w:r>
        <w:t>La IA, fintech, salud, AgTech y e-commerce son verticales dinámicas, pero su impacto puede quedar concentrado si no se resuelven conectividad, educación digital, infraestructura y financiamiento.</w:t>
      </w:r>
    </w:p>
    <w:p>
      <w:pPr>
        <w:pStyle w:val="ListBullet"/>
        <w:spacing w:after="80"/>
      </w:pPr>
      <w:r>
        <w:t>La brecha digital profundiza desigualdad: en hogares pobres, el acceso limitado a internet de calidad y computadoras reduce habilidades futuras y empleabilidad.</w:t>
      </w:r>
    </w:p>
    <w:p>
      <w:pPr>
        <w:pStyle w:val="ListBullet"/>
        <w:spacing w:after="80"/>
      </w:pPr>
      <w:r>
        <w:t>La propiedad intelectual es crítica: la Ley de Economía del Conocimiento y los regímenes de patentes/marcas incentivan innovación, aunque los tiempos administrativos y la discusión sobre IA/autoria plantean desafíos.</w:t>
      </w:r>
    </w:p>
    <w:p>
      <w:pPr>
        <w:pStyle w:val="Heading2"/>
        <w:spacing w:before="200" w:after="80"/>
      </w:pPr>
      <w:r>
        <w:rPr>
          <w:color w:val="1F4E79"/>
        </w:rPr>
        <w:t>Ecológico / ambiental</w:t>
      </w:r>
    </w:p>
    <w:p>
      <w:pPr>
        <w:pStyle w:val="ListBullet"/>
        <w:spacing w:after="80"/>
      </w:pPr>
      <w:r>
        <w:t>El ambiente no es externo a la economía: sequías, clima, agua y energía afectan producción agropecuaria, exportaciones, reservas, inflación de alimentos y recaudación.</w:t>
      </w:r>
    </w:p>
    <w:p>
      <w:pPr>
        <w:pStyle w:val="ListBullet"/>
        <w:spacing w:after="80"/>
      </w:pPr>
      <w:r>
        <w:t>El PBI no descuenta degradación ambiental ni agotamiento de recursos, por eso puede sobreestimar bienestar si el crecimiento se basa en deterioro ambiental.</w:t>
      </w:r>
    </w:p>
    <w:p>
      <w:pPr>
        <w:pStyle w:val="ListBullet"/>
        <w:spacing w:after="80"/>
      </w:pPr>
      <w:r>
        <w:t>Argentina tiene oportunidades en litio, minería, Vaca Muerta, energías renovables, AgTech y soluciones ESG, pero requieren infraestructura, licencia social y reglas ambientales claras.</w:t>
      </w:r>
    </w:p>
    <w:p>
      <w:pPr>
        <w:pStyle w:val="ListBullet"/>
        <w:spacing w:after="80"/>
      </w:pPr>
      <w:r>
        <w:t>La expansión de IA y data centers eleva demanda eléctrica y de agua para enfriamiento; esto condiciona localización y sostenibilidad de inversiones tecnológicas.</w:t>
      </w:r>
    </w:p>
    <w:p>
      <w:pPr>
        <w:pStyle w:val="ListBullet"/>
        <w:spacing w:after="80"/>
      </w:pPr>
      <w:r>
        <w:t>Los hogares pobres son más vulnerables a shocks climáticos porque suelen carecer de seguros, ahorro, infraestructura y vivienda segura.</w:t>
      </w:r>
    </w:p>
    <w:p>
      <w:pPr>
        <w:pStyle w:val="Heading2"/>
        <w:spacing w:before="200" w:after="80"/>
      </w:pPr>
      <w:r>
        <w:rPr>
          <w:color w:val="1F4E79"/>
        </w:rPr>
        <w:t>Legal / institucional</w:t>
      </w:r>
    </w:p>
    <w:p>
      <w:pPr>
        <w:pStyle w:val="ListBullet"/>
        <w:spacing w:after="80"/>
      </w:pPr>
      <w:r>
        <w:t>La seguridad jurídica, la estabilidad tributaria, las reglas laborales y las regulaciones cambiarias determinan costos de formalización e inversión.</w:t>
      </w:r>
    </w:p>
    <w:p>
      <w:pPr>
        <w:pStyle w:val="ListBullet"/>
        <w:spacing w:after="80"/>
      </w:pPr>
      <w:r>
        <w:t>Los materiales de inversión mencionan incentivos como RIGI para grandes inversiones y RIMI para PyMEs, con beneficios fiscales, estabilidad y mecanismos de recuperación de IVA/amortización.</w:t>
      </w:r>
    </w:p>
    <w:p>
      <w:pPr>
        <w:pStyle w:val="ListBullet"/>
        <w:spacing w:after="80"/>
      </w:pPr>
      <w:r>
        <w:t>La Ley de Economía del Conocimiento ofrece beneficios fiscales a software, biotecnología y actividades intensivas en conocimiento, a cambio de I+D, empleo y exportaciones.</w:t>
      </w:r>
    </w:p>
    <w:p>
      <w:pPr>
        <w:pStyle w:val="ListBullet"/>
        <w:spacing w:after="80"/>
      </w:pPr>
      <w:r>
        <w:t>El marco laboral incide sobre contratación formal: reformas como fondos de cese, períodos de prueba y reducción de contribuciones pueden ayudar, pero no resuelven por sí solas déficit de cualificaciones.</w:t>
      </w:r>
    </w:p>
    <w:p>
      <w:pPr>
        <w:pStyle w:val="ListBullet"/>
        <w:spacing w:after="80"/>
      </w:pPr>
      <w:r>
        <w:t>En propiedad intelectual, Argentina cuenta con Ley 11.723 y Ley 24.481, pero enfrenta desafíos de modernización, tiempos del INPI, enforcement y adecuación a tratados internacionales.</w:t>
      </w:r>
    </w:p>
    <w:p>
      <w:pPr>
        <w:pStyle w:val="Heading1"/>
        <w:spacing w:before="280" w:after="120"/>
      </w:pPr>
      <w:r>
        <w:rPr>
          <w:color w:val="1F4E79"/>
        </w:rPr>
        <w:t>Síntesis estratégica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9360"/>
      </w:tblGrid>
      <w:tr>
        <w:tc>
          <w:tcPr>
            <w:tcW w:type="dxa" w:w="9360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0B2545"/>
              </w:rPr>
              <w:t>Diagnóstico integrado</w:t>
            </w:r>
          </w:p>
          <w:p>
            <w:pPr>
              <w:spacing w:after="0"/>
            </w:pPr>
            <w:r>
              <w:t>El problema central no es la ausencia de sectores con potencial, sino la dificultad de convertirlos en crecimiento sostenido e inclusivo. Argentina combina agroindustria, energía, minería, servicios profesionales, software y capital humano, pero enfrenta inflación, restricción externa, baja inversión, informalidad, brechas sociales y reglas inestables.</w:t>
            </w:r>
          </w:p>
        </w:tc>
      </w:tr>
    </w:tbl>
    <w:p>
      <w:pPr>
        <w:pStyle w:val="ListBullet"/>
        <w:spacing w:after="80"/>
      </w:pPr>
      <w:r>
        <w:t>Oportunidad principal: diversificar exportaciones hacia energía, minería, agroindustria sofisticada y servicios basados en conocimiento para generar divisas menos dependientes del ciclo de commodities.</w:t>
      </w:r>
    </w:p>
    <w:p>
      <w:pPr>
        <w:pStyle w:val="ListBullet"/>
        <w:spacing w:after="80"/>
      </w:pPr>
      <w:r>
        <w:t>Riesgo principal: que el crecimiento sea solo un rebote estadístico del PBI y no se traduzca en empleo formal, productividad, salario real y reducción de pobreza.</w:t>
      </w:r>
    </w:p>
    <w:p>
      <w:pPr>
        <w:pStyle w:val="ListBullet"/>
        <w:spacing w:after="80"/>
      </w:pPr>
      <w:r>
        <w:t>Condición necesaria: estabilización macroeconómica, pero acompañada por inversión, infraestructura, educación, capacitación tecnológica y reglas previsibles.</w:t>
      </w:r>
    </w:p>
    <w:p>
      <w:pPr>
        <w:pStyle w:val="ListBullet"/>
        <w:spacing w:after="80"/>
      </w:pPr>
      <w:r>
        <w:t>Condición social: proteger primera infancia y capital humano para evitar que pobreza, brecha digital y mala nutrición limiten la productividad futura.</w:t>
      </w:r>
    </w:p>
    <w:p>
      <w:pPr>
        <w:pStyle w:val="Heading1"/>
        <w:spacing w:before="280" w:after="120"/>
      </w:pPr>
      <w:r>
        <w:rPr>
          <w:color w:val="1F4E79"/>
        </w:rPr>
        <w:t>Fuentes usadas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59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Eje</w:t>
            </w:r>
          </w:p>
        </w:tc>
        <w:tc>
          <w:tcPr>
            <w:tcW w:type="dxa" w:w="67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Archivos considerados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Comercio Internacional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Comercio-Internacional-Presentacion (1).pptx; IE - Comercio Internacional Informe.pdf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Flujo de inversiones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Flujo_Inversiones_Presentacion_Economia2026_V4.pptx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PBI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IE - TPI - PBI.pdf; IE- Presentacion - PBI.pdf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Pobreza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PDF - IE - TP - Pobreza.pdf; index.html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Salarios y mercado IT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informe_salarios_argentina.pdf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Propiedad intelectual / marco institucional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INFORME IE.pdf; PP IE.pptx</w:t>
            </w:r>
          </w:p>
        </w:tc>
      </w:tr>
    </w:tbl>
    <w:p>
      <w:pPr>
        <w:spacing w:before="200"/>
      </w:pPr>
      <w:r>
        <w:rPr>
          <w:i/>
          <w:color w:val="666666"/>
        </w:rPr>
        <w:t>Nota: documento elaborado a partir de los archivos provistos localmente. Los datos numéricos se mantienen como aparecen en los materiales de la materia.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Ingeniería Económica - PESTEL integrado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PESTEL Integrado - Ingeniería Económica</dc:title>
  <dc:subject>Argentina 2026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