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drawing>
          <wp:inline xmlns:a="http://schemas.openxmlformats.org/drawingml/2006/main" xmlns:pic="http://schemas.openxmlformats.org/drawingml/2006/picture">
            <wp:extent cx="1116000" cy="10386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bo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16000" cy="1038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/>
        <w:jc w:val="center"/>
      </w:pPr>
      <w:r>
        <w:rPr>
          <w:rFonts w:ascii="Aptos Display" w:hAnsi="Aptos Display"/>
          <w:b/>
          <w:color w:val="185B31"/>
          <w:sz w:val="60"/>
        </w:rPr>
        <w:t>Manual de Usuario</w:t>
      </w:r>
    </w:p>
    <w:p>
      <w:pPr>
        <w:jc w:val="center"/>
      </w:pPr>
      <w:r>
        <w:rPr>
          <w:b/>
          <w:color w:val="55605A"/>
          <w:sz w:val="36"/>
        </w:rPr>
        <w:t>EcoReporte - MVP de Gestión de Incidencias</w:t>
      </w:r>
    </w:p>
    <w:p>
      <w:pPr>
        <w:spacing w:before="400"/>
        <w:jc w:val="center"/>
      </w:pPr>
      <w:r>
        <w:rPr>
          <w:color w:val="185B31"/>
          <w:sz w:val="30"/>
        </w:rPr>
        <w:t>Funciones disponibles para Socios</w:t>
      </w:r>
    </w:p>
    <w:p>
      <w:pPr>
        <w:spacing w:before="1080"/>
        <w:jc w:val="center"/>
      </w:pPr>
      <w:r>
        <w:rPr>
          <w:sz w:val="22"/>
        </w:rPr>
        <w:t>Material de apoyo para demostración académica</w:t>
        <w:br/>
        <w:t>Versión MVP - Septiembre de 2026</w:t>
      </w:r>
    </w:p>
    <w:p>
      <w:r>
        <w:br w:type="page"/>
      </w:r>
    </w:p>
    <w:p>
      <w:pPr>
        <w:pStyle w:val="Heading1"/>
      </w:pPr>
      <w:r>
        <w:t>Índice</w:t>
      </w:r>
    </w:p>
    <w:p>
      <w:r>
        <w:t>Este manual explica únicamente las acciones que puede realizar un socio dentro del MVP.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339"/>
        <w:gridCol w:w="1134"/>
      </w:tblGrid>
      <w:tr>
        <w:tc>
          <w:tcPr>
            <w:tcW w:type="dxa" w:w="7126"/>
            <w:shd w:fill="185B31"/>
          </w:tcPr>
          <w:p>
            <w:r>
              <w:rPr>
                <w:b/>
                <w:color w:val="FFFFFF"/>
              </w:rPr>
              <w:t>Sección</w:t>
            </w:r>
          </w:p>
        </w:tc>
        <w:tc>
          <w:tcPr>
            <w:tcW w:type="dxa" w:w="7126"/>
            <w:shd w:fill="185B31"/>
          </w:tcPr>
          <w:p>
            <w:r>
              <w:rPr>
                <w:b/>
                <w:color w:val="FFFFFF"/>
              </w:rPr>
              <w:t>Página</w:t>
            </w:r>
          </w:p>
        </w:tc>
      </w:tr>
      <w:tr>
        <w:tc>
          <w:tcPr>
            <w:tcW w:type="dxa" w:w="11339"/>
          </w:tcPr>
          <w:p>
            <w:r>
              <w:t>1. Alcance y acceso al sistema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1339"/>
          </w:tcPr>
          <w:p>
            <w:r>
              <w:t>2. Aceptación de términos y condiciones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1339"/>
          </w:tcPr>
          <w:p>
            <w:r>
              <w:t>3. Panel principal del socio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1339"/>
          </w:tcPr>
          <w:p>
            <w:r>
              <w:t>4. Crear una nueva incidencia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1339"/>
          </w:tcPr>
          <w:p>
            <w:r>
              <w:t>5. Revisar y confirmar el envío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1339"/>
          </w:tcPr>
          <w:p>
            <w:r>
              <w:t>6. Consultar Mis incidencias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11339"/>
          </w:tcPr>
          <w:p>
            <w:r>
              <w:t>7. Consultar el historial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11339"/>
          </w:tcPr>
          <w:p>
            <w:r>
              <w:t>8. Cancelar una incidencia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11339"/>
          </w:tcPr>
          <w:p>
            <w:r>
              <w:t>9. Estados y recomendaciones de uso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11</w:t>
            </w:r>
          </w:p>
        </w:tc>
      </w:tr>
    </w:tbl>
    <w:p>
      <w:r>
        <w:br w:type="page"/>
      </w:r>
    </w:p>
    <w:p>
      <w:pPr>
        <w:pStyle w:val="Heading1"/>
      </w:pPr>
      <w:r>
        <w:t>1. Alcance y acceso al sistema</w:t>
      </w:r>
    </w:p>
    <w:p>
      <w:r>
        <w:t>Este manual está dirigido a socios. El socio puede informar incidencias, consultar sus reclamos, revisar su historial y cancelar una incidencia que aún esté en proceso.</w:t>
      </w:r>
    </w:p>
    <w:p>
      <w:r>
        <w:t>Para ingresar, escribir el nombre de usuario de demostración y presionar “Continuar”. En este MVP no se solicita contraseña.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028000" cy="579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icio_sesio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28000" cy="579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05A"/>
          <w:sz w:val="18"/>
        </w:rPr>
        <w:t>Figura 1. Pantalla de ingreso al MVP.</w:t>
      </w:r>
    </w:p>
    <w:p>
      <w:r>
        <w:br w:type="page"/>
      </w:r>
    </w:p>
    <w:p>
      <w:pPr>
        <w:pStyle w:val="Heading1"/>
      </w:pPr>
      <w:r>
        <w:t>2. Aceptación de términos y condiciones</w:t>
      </w:r>
    </w:p>
    <w:p>
      <w:r>
        <w:t>La primera vez que se ingresa desde un navegador, el sistema solicita aceptar los términos y condiciones.</w:t>
      </w:r>
    </w:p>
    <w:p>
      <w:pPr>
        <w:pStyle w:val="ListNumber"/>
      </w:pPr>
      <w:r>
        <w:t>Leer el contenido del panel.</w:t>
      </w:r>
    </w:p>
    <w:p>
      <w:pPr>
        <w:pStyle w:val="ListNumber"/>
      </w:pPr>
      <w:r>
        <w:t>Marcar la casilla “He leído y acepto los términos y condiciones de uso”.</w:t>
      </w:r>
    </w:p>
    <w:p>
      <w:pPr>
        <w:pStyle w:val="ListNumber"/>
      </w:pPr>
      <w:r>
        <w:t>Presionar “Continuar”.</w:t>
      </w:r>
    </w:p>
    <w:p>
      <w:r>
        <w:t>La aceptación se conserva localmente en el navegador para no repetirla en los siguientes ingresos desde ese mismo equipo.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028000" cy="579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erminos_y_condicione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028000" cy="579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05A"/>
          <w:sz w:val="18"/>
        </w:rPr>
        <w:t>Figura 2. Aceptación de términos y condiciones.</w:t>
      </w:r>
    </w:p>
    <w:p>
      <w:r>
        <w:br w:type="page"/>
      </w:r>
    </w:p>
    <w:p>
      <w:pPr>
        <w:pStyle w:val="Heading1"/>
      </w:pPr>
      <w:r>
        <w:t>3. Panel principal del socio</w:t>
      </w:r>
    </w:p>
    <w:p>
      <w:r>
        <w:t>Después de ingresar se muestra el panel principal. Desde allí se accede a las dos funciones del socio:</w:t>
      </w:r>
    </w:p>
    <w:p>
      <w:pPr>
        <w:pStyle w:val="ListBullet"/>
      </w:pPr>
      <w:r>
        <w:t>Nueva incidencia: permite informar un problema detectado en el club.</w:t>
      </w:r>
    </w:p>
    <w:p>
      <w:pPr>
        <w:pStyle w:val="ListBullet"/>
      </w:pPr>
      <w:r>
        <w:t>Mis incidencias: permite consultar los reclamos informados y sus estados.</w:t>
      </w:r>
    </w:p>
    <w:p>
      <w:r>
        <w:t>El indicador rojo sobre “Mis incidencias” muestra cuántos reclamos propios se encuentran en estado En proceso.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028000" cy="579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anel_del_socio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028000" cy="579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05A"/>
          <w:sz w:val="18"/>
        </w:rPr>
        <w:t>Figura 3. Panel principal del socio.</w:t>
      </w:r>
    </w:p>
    <w:p>
      <w:r>
        <w:br w:type="page"/>
      </w:r>
    </w:p>
    <w:p>
      <w:pPr>
        <w:pStyle w:val="Heading1"/>
      </w:pPr>
      <w:r>
        <w:t>4. Crear una nueva incidencia</w:t>
      </w:r>
    </w:p>
    <w:p>
      <w:r>
        <w:t>Seleccionar “Nueva incidencia” y completar todos los campos obligatorios: tipo, ubicación, fecha y hora del hecho y descripción.</w:t>
      </w:r>
    </w:p>
    <w:p>
      <w:pPr>
        <w:pStyle w:val="ListBullet"/>
      </w:pPr>
      <w:r>
        <w:t>La fecha y hora no puede ser futura.</w:t>
      </w:r>
    </w:p>
    <w:p>
      <w:pPr>
        <w:pStyle w:val="ListBullet"/>
      </w:pPr>
      <w:r>
        <w:t>La descripción admite hasta 140 caracteres.</w:t>
      </w:r>
    </w:p>
    <w:p>
      <w:pPr>
        <w:pStyle w:val="ListBullet"/>
      </w:pPr>
      <w:r>
        <w:t>El botón “Cancelar” regresa al panel principal sin guardar el formulario actual.</w:t>
      </w:r>
    </w:p>
    <w:p>
      <w:r>
        <w:t>Al presionar “Guardar incidencia”, el sistema registra la incidencia en estado Borrador y abre la pantalla de revisión.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028000" cy="579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nueva_incidencia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028000" cy="579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05A"/>
          <w:sz w:val="18"/>
        </w:rPr>
        <w:t>Figura 4. Formulario para registrar una nueva incidencia.</w:t>
      </w:r>
    </w:p>
    <w:p>
      <w:r>
        <w:br w:type="page"/>
      </w:r>
    </w:p>
    <w:p>
      <w:pPr>
        <w:pStyle w:val="Heading1"/>
      </w:pPr>
      <w:r>
        <w:t>5. Revisar y confirmar el envío</w:t>
      </w:r>
    </w:p>
    <w:p>
      <w:r>
        <w:t>Antes de enviar el reclamo, revisar el resumen de los datos cargados.</w:t>
      </w:r>
    </w:p>
    <w:p>
      <w:pPr>
        <w:pStyle w:val="ListNumber"/>
      </w:pPr>
      <w:r>
        <w:t>Si es necesario corregir algo, presionar “Volver a editar”.</w:t>
      </w:r>
    </w:p>
    <w:p>
      <w:pPr>
        <w:pStyle w:val="ListNumber"/>
      </w:pPr>
      <w:r>
        <w:t>Si los datos son correctos, presionar “Confirmar envío”.</w:t>
      </w:r>
    </w:p>
    <w:p>
      <w:r>
        <w:t>Al confirmarla, la incidencia pasa de Borrador a Pendiente y queda disponible para la revisión del club.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028000" cy="579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nfirmar_envio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028000" cy="579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05A"/>
          <w:sz w:val="18"/>
        </w:rPr>
        <w:t>Figura 5. Revisión final antes de enviar la incidencia.</w:t>
      </w:r>
    </w:p>
    <w:p>
      <w:r>
        <w:br w:type="page"/>
      </w:r>
    </w:p>
    <w:p>
      <w:pPr>
        <w:pStyle w:val="Heading1"/>
      </w:pPr>
      <w:r>
        <w:t>6. Consultar Mis incidencias</w:t>
      </w:r>
    </w:p>
    <w:p>
      <w:r>
        <w:t>La pantalla “Mis incidencias” muestra solamente los reclamos del socio que ingresó al sistema.</w:t>
      </w:r>
    </w:p>
    <w:p>
      <w:pPr>
        <w:pStyle w:val="ListBullet"/>
      </w:pPr>
      <w:r>
        <w:t>Usar el número o una palabra de la descripción para buscar una incidencia.</w:t>
      </w:r>
    </w:p>
    <w:p>
      <w:pPr>
        <w:pStyle w:val="ListBullet"/>
      </w:pPr>
      <w:r>
        <w:t>Usar los estados para mostrar uno o varios grupos de incidencias. Por defecto se selecciona En proceso.</w:t>
      </w:r>
    </w:p>
    <w:p>
      <w:pPr>
        <w:pStyle w:val="ListBullet"/>
      </w:pPr>
      <w:r>
        <w:t>Usar el ícono de ojo para ver el detalle y el ícono de reloj para abrir el historial.</w:t>
      </w:r>
    </w:p>
    <w:p>
      <w:r>
        <w:t>El estado y el responsable se muestran en cada registro. Los colores ayudan a diferenciar el avance de los reclamos.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028000" cy="579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is_incidencias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028000" cy="579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05A"/>
          <w:sz w:val="18"/>
        </w:rPr>
        <w:t>Figura 6. Listado, filtros y acciones de Mis incidencias.</w:t>
      </w:r>
    </w:p>
    <w:p>
      <w:r>
        <w:br w:type="page"/>
      </w:r>
    </w:p>
    <w:p>
      <w:pPr>
        <w:pStyle w:val="Heading1"/>
      </w:pPr>
      <w:r>
        <w:t>7. Consultar el historial</w:t>
      </w:r>
    </w:p>
    <w:p>
      <w:r>
        <w:t>El historial permite conocer cada cambio registrado en una incidencia: estado anterior, estado nuevo, fecha, comentario y usuario que realizó la acción.</w:t>
      </w:r>
    </w:p>
    <w:p>
      <w:r>
        <w:t>Para abrirlo, seleccionar el ícono de reloj en la columna de acciones del listado.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028000" cy="579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historial_de_incidencia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028000" cy="579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05A"/>
          <w:sz w:val="18"/>
        </w:rPr>
        <w:t>Figura 7. Historial de una incidencia.</w:t>
      </w:r>
    </w:p>
    <w:p>
      <w:r>
        <w:br w:type="page"/>
      </w:r>
    </w:p>
    <w:p>
      <w:pPr>
        <w:pStyle w:val="Heading1"/>
      </w:pPr>
      <w:r>
        <w:t>8. Cancelar una incidencia</w:t>
      </w:r>
    </w:p>
    <w:p>
      <w:r>
        <w:t>El socio puede cancelar una incidencia propia solo mientras esté en estado En proceso.</w:t>
      </w:r>
    </w:p>
    <w:p>
      <w:pPr>
        <w:pStyle w:val="ListNumber"/>
      </w:pPr>
      <w:r>
        <w:t>Presionar el ícono rojo de cancelación en el registro correspondiente.</w:t>
      </w:r>
    </w:p>
    <w:p>
      <w:pPr>
        <w:pStyle w:val="ListNumber"/>
      </w:pPr>
      <w:r>
        <w:t>Escribir el motivo de la cancelación.</w:t>
      </w:r>
    </w:p>
    <w:p>
      <w:pPr>
        <w:pStyle w:val="ListNumber"/>
      </w:pPr>
      <w:r>
        <w:t>Presionar “Confirmar cancelación”.</w:t>
      </w:r>
    </w:p>
    <w:p>
      <w:r>
        <w:t>El motivo es obligatorio y admite hasta 200 caracteres. Una vez cancelada, la incidencia queda en un estado final y el motivo se incorpora al historial.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028000" cy="5798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ancelar_incidencia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028000" cy="579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05A"/>
          <w:sz w:val="18"/>
        </w:rPr>
        <w:t>Figura 8. Confirmación y motivo de cancelación.</w:t>
      </w:r>
    </w:p>
    <w:p>
      <w:r>
        <w:br w:type="page"/>
      </w:r>
    </w:p>
    <w:p>
      <w:pPr>
        <w:pStyle w:val="Heading1"/>
      </w:pPr>
      <w:r>
        <w:t>9. Estados y recomendaciones de uso</w:t>
      </w:r>
    </w:p>
    <w:p>
      <w:r>
        <w:t>El socio puede interpretar el avance de cada reclamo mediante los siguientes estados: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126"/>
        <w:gridCol w:w="7126"/>
      </w:tblGrid>
      <w:tr>
        <w:tc>
          <w:tcPr>
            <w:tcW w:type="dxa" w:w="7126"/>
            <w:shd w:fill="185B31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7126"/>
            <w:shd w:fill="185B31"/>
          </w:tcPr>
          <w:p>
            <w:r>
              <w:rPr>
                <w:b/>
                <w:color w:val="FFFFFF"/>
              </w:rPr>
              <w:t>Significado para el socio</w:t>
            </w:r>
          </w:p>
        </w:tc>
      </w:tr>
      <w:tr>
        <w:tc>
          <w:tcPr>
            <w:tcW w:type="dxa" w:w="7126"/>
          </w:tcPr>
          <w:p>
            <w:r>
              <w:t>Borrador</w:t>
            </w:r>
          </w:p>
        </w:tc>
        <w:tc>
          <w:tcPr>
            <w:tcW w:type="dxa" w:w="7126"/>
          </w:tcPr>
          <w:p>
            <w:r>
              <w:t>Fue guardada, pero todavía no se confirmó el envío. Puede editarse.</w:t>
            </w:r>
          </w:p>
        </w:tc>
      </w:tr>
      <w:tr>
        <w:tc>
          <w:tcPr>
            <w:tcW w:type="dxa" w:w="7126"/>
          </w:tcPr>
          <w:p>
            <w:r>
              <w:t>Pendiente</w:t>
            </w:r>
          </w:p>
        </w:tc>
        <w:tc>
          <w:tcPr>
            <w:tcW w:type="dxa" w:w="7126"/>
          </w:tcPr>
          <w:p>
            <w:r>
              <w:t>El socio la envió y espera la revisión inicial.</w:t>
            </w:r>
          </w:p>
        </w:tc>
      </w:tr>
      <w:tr>
        <w:tc>
          <w:tcPr>
            <w:tcW w:type="dxa" w:w="7126"/>
          </w:tcPr>
          <w:p>
            <w:r>
              <w:t>Confirmada</w:t>
            </w:r>
          </w:p>
        </w:tc>
        <w:tc>
          <w:tcPr>
            <w:tcW w:type="dxa" w:w="7126"/>
          </w:tcPr>
          <w:p>
            <w:r>
              <w:t>La revisión inicial permitió que el reclamo continúe.</w:t>
            </w:r>
          </w:p>
        </w:tc>
      </w:tr>
      <w:tr>
        <w:tc>
          <w:tcPr>
            <w:tcW w:type="dxa" w:w="7126"/>
          </w:tcPr>
          <w:p>
            <w:r>
              <w:t>En proceso</w:t>
            </w:r>
          </w:p>
        </w:tc>
        <w:tc>
          <w:tcPr>
            <w:tcW w:type="dxa" w:w="7126"/>
          </w:tcPr>
          <w:p>
            <w:r>
              <w:t>El club asignó responsable y se encuentra atendiendo el reclamo.</w:t>
            </w:r>
          </w:p>
        </w:tc>
      </w:tr>
      <w:tr>
        <w:tc>
          <w:tcPr>
            <w:tcW w:type="dxa" w:w="7126"/>
          </w:tcPr>
          <w:p>
            <w:r>
              <w:t>Resuelta</w:t>
            </w:r>
          </w:p>
        </w:tc>
        <w:tc>
          <w:tcPr>
            <w:tcW w:type="dxa" w:w="7126"/>
          </w:tcPr>
          <w:p>
            <w:r>
              <w:t>El reclamo fue solucionado.</w:t>
            </w:r>
          </w:p>
        </w:tc>
      </w:tr>
      <w:tr>
        <w:tc>
          <w:tcPr>
            <w:tcW w:type="dxa" w:w="7126"/>
          </w:tcPr>
          <w:p>
            <w:r>
              <w:t>Cancelada</w:t>
            </w:r>
          </w:p>
        </w:tc>
        <w:tc>
          <w:tcPr>
            <w:tcW w:type="dxa" w:w="7126"/>
          </w:tcPr>
          <w:p>
            <w:r>
              <w:t>El reclamo fue cancelado durante la revisión o por una acción manual.</w:t>
            </w:r>
          </w:p>
        </w:tc>
      </w:tr>
    </w:tbl>
    <w:p>
      <w:pPr>
        <w:pStyle w:val="Heading2"/>
      </w:pPr>
      <w:r>
        <w:t>Recomendaciones finales</w:t>
      </w:r>
    </w:p>
    <w:p>
      <w:pPr>
        <w:pStyle w:val="ListBullet"/>
      </w:pPr>
      <w:r>
        <w:t>Describir el problema de manera breve y concreta para facilitar su atención.</w:t>
      </w:r>
    </w:p>
    <w:p>
      <w:pPr>
        <w:pStyle w:val="ListBullet"/>
      </w:pPr>
      <w:r>
        <w:t>Revisar los datos antes de confirmar el envío.</w:t>
      </w:r>
    </w:p>
    <w:p>
      <w:pPr>
        <w:pStyle w:val="ListBullet"/>
      </w:pPr>
      <w:r>
        <w:t>Consultar el historial para conocer el avance y los comentarios asociados.</w:t>
      </w:r>
    </w:p>
    <w:p>
      <w:pPr>
        <w:pStyle w:val="ListBullet"/>
      </w:pPr>
      <w:r>
        <w:t>Cancelar solamente cuando ya no sea necesario continuar con el reclamo.</w:t>
      </w:r>
    </w:p>
    <w:p>
      <w:r>
        <w:t>Las asignaciones, revisiones y algunas resoluciones se simulan automáticamente en este MVP para fines de demostración académica.</w:t>
      </w:r>
    </w:p>
    <w:sectPr w:rsidR="00FC693F" w:rsidRPr="0006063C" w:rsidSect="00034616">
      <w:footerReference w:type="default" r:id="rId9"/>
      <w:pgSz w:w="15840" w:h="12240" w:orient="landscape"/>
      <w:pgMar w:top="680" w:right="794" w:bottom="62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EcoReporte | Manual del Socio |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5B3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5B3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85B31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Caption">
    <w:name w:val="ManualCaption"/>
    <w:rPr>
      <w:rFonts w:ascii="Aptos" w:hAnsi="Aptos"/>
      <w:color w:val="5560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EcoReporte MVP</dc:title>
  <dc:subject>Funciones disponibles para Socios</dc:subject>
  <dc:creator>Equipo EcoReporte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