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rStyle w:val="Strong"/>
          <w:rFonts w:ascii="Lato" w:hAnsi="Lato"/>
          <w:b/>
          <w:bCs/>
          <w:sz w:val="36"/>
          <w:szCs w:val="36"/>
        </w:rPr>
        <w:t>Risk Assessment Report – ALE &amp; Risk Matrix</w:t>
      </w:r>
    </w:p>
    <w:p>
      <w:pPr>
        <w:pStyle w:val="Heading1"/>
        <w:numPr>
          <w:ilvl w:val="0"/>
          <w:numId w:val="1"/>
        </w:numPr>
        <w:rPr>
          <w:rFonts w:ascii="Lato" w:hAnsi="Lato"/>
          <w:b/>
          <w:bCs/>
          <w:sz w:val="32"/>
          <w:szCs w:val="32"/>
        </w:rPr>
      </w:pPr>
      <w:r>
        <w:rPr>
          <w:rFonts w:ascii="Lato" w:hAnsi="Lato"/>
          <w:b/>
          <w:bCs/>
          <w:sz w:val="32"/>
          <w:szCs w:val="32"/>
        </w:rPr>
        <w:t>1. Objective</w:t>
      </w:r>
    </w:p>
    <w:p>
      <w:pPr>
        <w:pStyle w:val="Normal"/>
        <w:rPr>
          <w:rFonts w:ascii="Lato" w:hAnsi="Lato"/>
          <w:sz w:val="24"/>
          <w:szCs w:val="24"/>
        </w:rPr>
      </w:pPr>
      <w:r>
        <w:rPr>
          <w:rFonts w:ascii="Lato" w:hAnsi="Lato"/>
          <w:sz w:val="24"/>
          <w:szCs w:val="24"/>
        </w:rPr>
        <w:t>This report demonstrates the calculation of Annualized Loss Expectancy (ALE) and the evaluation of risk using a 5x5 risk matrix for a ransomware scenario.</w:t>
      </w:r>
    </w:p>
    <w:p>
      <w:pPr>
        <w:pStyle w:val="Heading1"/>
        <w:numPr>
          <w:ilvl w:val="0"/>
          <w:numId w:val="1"/>
        </w:numPr>
        <w:rPr>
          <w:rFonts w:ascii="Lato" w:hAnsi="Lato"/>
          <w:b/>
          <w:bCs/>
          <w:sz w:val="32"/>
          <w:szCs w:val="32"/>
        </w:rPr>
      </w:pPr>
      <w:r>
        <w:rPr>
          <w:rFonts w:ascii="Lato" w:hAnsi="Lato"/>
          <w:b/>
          <w:bCs/>
          <w:sz w:val="32"/>
          <w:szCs w:val="32"/>
        </w:rPr>
        <w:t>2. ALE Calculation</w:t>
      </w:r>
    </w:p>
    <w:p>
      <w:pPr>
        <w:pStyle w:val="Normal"/>
        <w:rPr>
          <w:rFonts w:ascii="Lato" w:hAnsi="Lato"/>
          <w:sz w:val="24"/>
          <w:szCs w:val="24"/>
        </w:rPr>
      </w:pPr>
      <w:r>
        <w:rPr>
          <w:rFonts w:ascii="Lato" w:hAnsi="Lato"/>
          <w:sz w:val="24"/>
          <w:szCs w:val="24"/>
        </w:rPr>
        <w:t>The Annualized Loss Expectancy (ALE) was calculated using the formula:</w:t>
        <w:br/>
        <w:br/>
      </w:r>
      <w:r>
        <w:rPr>
          <w:rFonts w:ascii="Lato" w:hAnsi="Lato"/>
          <w:b/>
          <w:bCs/>
          <w:sz w:val="24"/>
          <w:szCs w:val="24"/>
        </w:rPr>
        <w:t>ALE = SLE × ARO</w:t>
      </w:r>
      <w:r>
        <w:rPr>
          <w:rFonts w:ascii="Lato" w:hAnsi="Lato"/>
          <w:sz w:val="24"/>
          <w:szCs w:val="24"/>
        </w:rPr>
        <w:br/>
        <w:br/>
      </w:r>
      <w:r>
        <w:rPr>
          <w:rFonts w:ascii="Lato" w:hAnsi="Lato"/>
          <w:b/>
          <w:bCs/>
          <w:sz w:val="24"/>
          <w:szCs w:val="24"/>
        </w:rPr>
        <w:t>Where:</w:t>
      </w:r>
      <w:r>
        <w:rPr>
          <w:rFonts w:ascii="Lato" w:hAnsi="Lato"/>
          <w:sz w:val="24"/>
          <w:szCs w:val="24"/>
        </w:rPr>
        <w:br/>
        <w:t>- SLE (Single Loss Expectancy) = $10,000</w:t>
        <w:br/>
        <w:t>- ARO (Annual Rate of Occurrence) = 0.2</w:t>
        <w:br/>
        <w:br/>
      </w:r>
      <w:r>
        <w:rPr>
          <w:rFonts w:ascii="Lato" w:hAnsi="Lato"/>
          <w:b/>
          <w:bCs/>
          <w:sz w:val="24"/>
          <w:szCs w:val="24"/>
        </w:rPr>
        <w:t>Therefore:</w:t>
      </w:r>
      <w:r>
        <w:rPr>
          <w:rFonts w:ascii="Lato" w:hAnsi="Lato"/>
          <w:sz w:val="24"/>
          <w:szCs w:val="24"/>
        </w:rPr>
        <w:br/>
        <w:t>ALE = 10,000 × 0.2 = $2,000</w:t>
        <w:br/>
        <w:br/>
        <w:t>This means the expected annual loss due to ransomware is $2,000.</w:t>
      </w:r>
    </w:p>
    <w:p>
      <w:pPr>
        <w:pStyle w:val="Normal"/>
        <w:rPr>
          <w:rFonts w:ascii="Lato" w:hAnsi="Lato"/>
          <w:sz w:val="24"/>
          <w:szCs w:val="24"/>
        </w:rPr>
      </w:pPr>
      <w:r>
        <w:rPr>
          <w:rFonts w:ascii="Lato" w:hAnsi="Lato"/>
          <w:sz w:val="24"/>
          <w:szCs w:val="24"/>
        </w:rPr>
        <w:drawing>
          <wp:anchor behindDoc="0" distT="0" distB="0" distL="0" distR="0" simplePos="0" locked="0" layoutInCell="0" allowOverlap="1" relativeHeight="9">
            <wp:simplePos x="0" y="0"/>
            <wp:positionH relativeFrom="column">
              <wp:posOffset>0</wp:posOffset>
            </wp:positionH>
            <wp:positionV relativeFrom="paragraph">
              <wp:posOffset>262255</wp:posOffset>
            </wp:positionV>
            <wp:extent cx="5731510" cy="322389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3223895"/>
                    </a:xfrm>
                    <a:prstGeom prst="rect">
                      <a:avLst/>
                    </a:prstGeom>
                  </pic:spPr>
                </pic:pic>
              </a:graphicData>
            </a:graphic>
          </wp:anchor>
        </w:drawing>
      </w:r>
    </w:p>
    <w:p>
      <w:pPr>
        <w:pStyle w:val="Heading1"/>
        <w:numPr>
          <w:ilvl w:val="0"/>
          <w:numId w:val="0"/>
        </w:numPr>
        <w:ind w:hanging="0" w:left="0"/>
        <w:rPr>
          <w:rFonts w:ascii="Lato" w:hAnsi="Lato"/>
          <w:b/>
          <w:bCs/>
          <w:sz w:val="32"/>
          <w:szCs w:val="32"/>
        </w:rPr>
      </w:pPr>
      <w:r>
        <w:rPr>
          <w:rFonts w:ascii="Lato" w:hAnsi="Lato"/>
          <w:b/>
          <w:bCs/>
          <w:sz w:val="32"/>
          <w:szCs w:val="32"/>
        </w:rPr>
        <w:t xml:space="preserve">         </w:t>
      </w:r>
      <w:r>
        <w:rPr>
          <w:rFonts w:ascii="Lato" w:hAnsi="Lato"/>
          <w:b/>
          <w:bCs/>
          <w:sz w:val="32"/>
          <w:szCs w:val="32"/>
        </w:rPr>
        <w:t>3. Risk Matrix Analysis</w:t>
      </w:r>
    </w:p>
    <w:p>
      <w:pPr>
        <w:pStyle w:val="Normal"/>
        <w:rPr>
          <w:rFonts w:ascii="Lato" w:hAnsi="Lato"/>
          <w:sz w:val="24"/>
          <w:szCs w:val="24"/>
        </w:rPr>
      </w:pPr>
      <w:r>
        <w:rPr>
          <w:rFonts w:ascii="Lato" w:hAnsi="Lato"/>
          <w:sz w:val="24"/>
          <w:szCs w:val="24"/>
        </w:rPr>
        <w:t>A 5x5 risk matrix was used to evaluate the ransomware scenario based on likelihood and impact.</w:t>
        <w:br/>
        <w:br/>
        <w:t>- Likelihood = 2 (Low probability)</w:t>
        <w:br/>
        <w:t>- Impact = 4 (High impact)</w:t>
        <w:br/>
        <w:br/>
        <w:t>Risk Score = Likelihood × Impact = 2 × 4 = 8</w:t>
        <w:br/>
        <w:br/>
        <w:t>This places the risk in the Medium category.</w:t>
      </w:r>
    </w:p>
    <w:p>
      <w:pPr>
        <w:pStyle w:val="Normal"/>
        <w:rPr>
          <w:rFonts w:ascii="Lato" w:hAnsi="Lato"/>
          <w:sz w:val="24"/>
          <w:szCs w:val="24"/>
        </w:rPr>
      </w:pPr>
      <w:r>
        <w:rPr>
          <w:rFonts w:ascii="Lato" w:hAnsi="Lato"/>
          <w:sz w:val="24"/>
          <w:szCs w:val="24"/>
        </w:rPr>
      </w:r>
    </w:p>
    <w:p>
      <w:pPr>
        <w:pStyle w:val="Heading1"/>
        <w:numPr>
          <w:ilvl w:val="0"/>
          <w:numId w:val="0"/>
        </w:numPr>
        <w:ind w:hanging="0" w:left="0"/>
        <w:rPr>
          <w:b/>
          <w:bCs/>
        </w:rPr>
      </w:pPr>
      <w:r>
        <w:rPr>
          <w:rFonts w:ascii="Lato" w:hAnsi="Lato"/>
          <w:sz w:val="32"/>
          <w:szCs w:val="32"/>
        </w:rPr>
        <w:drawing>
          <wp:anchor behindDoc="0" distT="0" distB="0" distL="0" distR="0" simplePos="0" locked="0" layoutInCell="0" allowOverlap="1" relativeHeight="10">
            <wp:simplePos x="0" y="0"/>
            <wp:positionH relativeFrom="column">
              <wp:posOffset>-59055</wp:posOffset>
            </wp:positionH>
            <wp:positionV relativeFrom="paragraph">
              <wp:posOffset>307975</wp:posOffset>
            </wp:positionV>
            <wp:extent cx="5731510" cy="3223895"/>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5731510" cy="3223895"/>
                    </a:xfrm>
                    <a:prstGeom prst="rect">
                      <a:avLst/>
                    </a:prstGeom>
                  </pic:spPr>
                </pic:pic>
              </a:graphicData>
            </a:graphic>
          </wp:anchor>
        </w:drawing>
      </w:r>
    </w:p>
    <w:p>
      <w:pPr>
        <w:pStyle w:val="Heading1"/>
        <w:numPr>
          <w:ilvl w:val="0"/>
          <w:numId w:val="1"/>
        </w:numPr>
        <w:rPr>
          <w:rFonts w:ascii="Lato" w:hAnsi="Lato"/>
          <w:sz w:val="32"/>
          <w:szCs w:val="32"/>
        </w:rPr>
      </w:pPr>
      <w:r>
        <w:rPr>
          <w:rFonts w:ascii="Lato" w:hAnsi="Lato"/>
          <w:b/>
          <w:bCs/>
          <w:sz w:val="32"/>
          <w:szCs w:val="32"/>
        </w:rPr>
        <w:t>4. Risk Level Classification</w:t>
      </w:r>
    </w:p>
    <w:p>
      <w:pPr>
        <w:pStyle w:val="Normal"/>
        <w:rPr>
          <w:rFonts w:ascii="Lato" w:hAnsi="Lato"/>
          <w:sz w:val="24"/>
          <w:szCs w:val="24"/>
        </w:rPr>
      </w:pPr>
      <w:r>
        <w:rPr>
          <w:rFonts w:ascii="Lato" w:hAnsi="Lato"/>
          <w:sz w:val="24"/>
          <w:szCs w:val="24"/>
        </w:rPr>
        <w:t>The following risk levels were used:</w:t>
        <w:br/>
        <w:t>- Low Risk (1–5): Green</w:t>
        <w:br/>
        <w:t>- Medium Risk (6–10): Yellow</w:t>
        <w:br/>
        <w:t>- High Risk (11–25): Red</w:t>
        <w:br/>
        <w:br/>
        <w:t>The ransomware scenario falls under Medium Risk (Yellow).</w:t>
      </w:r>
    </w:p>
    <w:p>
      <w:pPr>
        <w:pStyle w:val="Heading1"/>
        <w:numPr>
          <w:ilvl w:val="0"/>
          <w:numId w:val="1"/>
        </w:numPr>
        <w:rPr>
          <w:rFonts w:ascii="Lato" w:hAnsi="Lato"/>
          <w:b/>
          <w:bCs/>
          <w:sz w:val="32"/>
          <w:szCs w:val="32"/>
        </w:rPr>
      </w:pPr>
      <w:r>
        <w:rPr>
          <w:rFonts w:ascii="Lato" w:hAnsi="Lato"/>
          <w:b/>
          <w:bCs/>
          <w:sz w:val="32"/>
          <w:szCs w:val="32"/>
        </w:rPr>
        <w:t>5. Conclusion</w:t>
      </w:r>
    </w:p>
    <w:p>
      <w:pPr>
        <w:pStyle w:val="Heading1"/>
        <w:spacing w:before="400" w:after="120"/>
        <w:rPr>
          <w:rFonts w:ascii="Lato" w:hAnsi="Lato"/>
          <w:sz w:val="24"/>
          <w:szCs w:val="24"/>
        </w:rPr>
      </w:pPr>
      <w:r>
        <w:rPr>
          <w:rFonts w:ascii="Lato" w:hAnsi="Lato"/>
          <w:sz w:val="24"/>
          <w:szCs w:val="24"/>
        </w:rPr>
        <w:t>The risk assessment shows that while ransomware may not occur frequently, its impact is significant. Organizations should implement preventive and detective controls to reduce the likelihood and impact of such threats.</w:t>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440" w:gutter="0" w:header="576" w:top="1440" w:footer="432" w:bottom="144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libri">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Lato">
    <w:charset w:val="01"/>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5"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6"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behindDoc="1" distT="114300" distB="114300" distL="114300" distR="114300" simplePos="0" locked="0" layoutInCell="0" allowOverlap="1" relativeHeight="8">
          <wp:simplePos x="0" y="0"/>
          <wp:positionH relativeFrom="column">
            <wp:posOffset>-1444625</wp:posOffset>
          </wp:positionH>
          <wp:positionV relativeFrom="paragraph">
            <wp:posOffset>-342900</wp:posOffset>
          </wp:positionV>
          <wp:extent cx="8618220" cy="1023620"/>
          <wp:effectExtent l="0" t="0" r="0" b="0"/>
          <wp:wrapTopAndBottom/>
          <wp:docPr id="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
                  <pic:cNvPicPr>
                    <a:picLocks noChangeAspect="1" noChangeArrowheads="1"/>
                  </pic:cNvPicPr>
                </pic:nvPicPr>
                <pic:blipFill>
                  <a:blip r:embed="rId1"/>
                  <a:srcRect l="0" t="6803" r="0" b="0"/>
                  <a:stretch>
                    <a:fillRect/>
                  </a:stretch>
                </pic:blipFill>
                <pic:spPr bwMode="auto">
                  <a:xfrm>
                    <a:off x="0" y="0"/>
                    <a:ext cx="8618220" cy="102362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behindDoc="1" distT="114300" distB="114300" distL="114300" distR="114300" simplePos="0" locked="0" layoutInCell="0" allowOverlap="1" relativeHeight="8">
          <wp:simplePos x="0" y="0"/>
          <wp:positionH relativeFrom="column">
            <wp:posOffset>-1444625</wp:posOffset>
          </wp:positionH>
          <wp:positionV relativeFrom="paragraph">
            <wp:posOffset>-342900</wp:posOffset>
          </wp:positionV>
          <wp:extent cx="8618220" cy="1023620"/>
          <wp:effectExtent l="0" t="0" r="0" b="0"/>
          <wp:wrapTopAndBottom/>
          <wp:docPr id="4"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descr=""/>
                  <pic:cNvPicPr>
                    <a:picLocks noChangeAspect="1" noChangeArrowheads="1"/>
                  </pic:cNvPicPr>
                </pic:nvPicPr>
                <pic:blipFill>
                  <a:blip r:embed="rId1"/>
                  <a:srcRect l="0" t="6803" r="0" b="0"/>
                  <a:stretch>
                    <a:fillRect/>
                  </a:stretch>
                </pic:blipFill>
                <pic:spPr bwMode="auto">
                  <a:xfrm>
                    <a:off x="0" y="0"/>
                    <a:ext cx="8618220" cy="102362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5">
    <w:lvl w:ilvl="0">
      <w:start w:val="1"/>
      <w:numFmt w:val="decimal"/>
      <w:lvlText w:val="%1."/>
      <w:lvlJc w:val="left"/>
      <w:pPr>
        <w:tabs>
          <w:tab w:val="num" w:pos="360"/>
        </w:tabs>
        <w:ind w:left="360" w:hanging="360"/>
      </w:pPr>
      <w:rPr>
        <w:rFonts w:cs="Symbo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720"/>
        </w:tabs>
        <w:ind w:left="720" w:hanging="360"/>
      </w:pPr>
      <w:rPr>
        <w:rFonts w:cs="Symbo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1080"/>
        </w:tabs>
        <w:ind w:left="1080" w:hanging="360"/>
      </w:pPr>
      <w:rPr>
        <w:rFonts w:cs="Symbol"/>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en-IN"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0"/>
      <w:jc w:val="left"/>
    </w:pPr>
    <w:rPr>
      <w:rFonts w:ascii="Arial" w:hAnsi="Arial" w:eastAsia="Arial" w:cs="Arial"/>
      <w:color w:val="auto"/>
      <w:kern w:val="0"/>
      <w:sz w:val="22"/>
      <w:szCs w:val="22"/>
      <w:lang w:val="en-GB" w:eastAsia="en-IN"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paragraph" w:styleId="Heading7">
    <w:name w:val="Heading 7"/>
    <w:basedOn w:val="Normal"/>
    <w:next w:val="Normal"/>
    <w:qFormat/>
    <w:pPr>
      <w:keepNext w:val="true"/>
      <w:keepLines/>
      <w:numPr>
        <w:ilvl w:val="0"/>
        <w:numId w:val="0"/>
      </w:numPr>
      <w:spacing w:before="200" w:after="0"/>
      <w:outlineLvl w:val="6"/>
    </w:pPr>
    <w:rPr>
      <w:rFonts w:ascii="Calibri" w:hAnsi="Calibri" w:eastAsia="ＭＳ ゴシック" w:cs="Arial"/>
      <w:i/>
      <w:iCs/>
      <w:color w:themeColor="dark1" w:themeTint="bf" w:val="404040"/>
    </w:rPr>
  </w:style>
  <w:style w:type="paragraph" w:styleId="Heading8">
    <w:name w:val="Heading 8"/>
    <w:basedOn w:val="Normal"/>
    <w:next w:val="Normal"/>
    <w:qFormat/>
    <w:pPr>
      <w:keepNext w:val="true"/>
      <w:keepLines/>
      <w:numPr>
        <w:ilvl w:val="0"/>
        <w:numId w:val="0"/>
      </w:numPr>
      <w:spacing w:before="200" w:after="0"/>
      <w:outlineLvl w:val="7"/>
    </w:pPr>
    <w:rPr>
      <w:rFonts w:ascii="Calibri" w:hAnsi="Calibri" w:eastAsia="ＭＳ ゴシック" w:cs="Arial"/>
      <w:color w:themeColor="accent1" w:val="4F81BD"/>
      <w:sz w:val="20"/>
      <w:szCs w:val="20"/>
    </w:rPr>
  </w:style>
  <w:style w:type="paragraph" w:styleId="Heading9">
    <w:name w:val="Heading 9"/>
    <w:basedOn w:val="Normal"/>
    <w:next w:val="Normal"/>
    <w:qFormat/>
    <w:pPr>
      <w:keepNext w:val="true"/>
      <w:keepLines/>
      <w:numPr>
        <w:ilvl w:val="0"/>
        <w:numId w:val="0"/>
      </w:numPr>
      <w:spacing w:before="200" w:after="0"/>
      <w:outlineLvl w:val="8"/>
    </w:pPr>
    <w:rPr>
      <w:rFonts w:ascii="Calibri" w:hAnsi="Calibri" w:eastAsia="ＭＳ ゴシック" w:cs="Arial"/>
      <w:i/>
      <w:iCs/>
      <w:color w:themeColor="dark1" w:themeTint="bf" w:val="404040"/>
      <w:sz w:val="20"/>
      <w:szCs w:val="20"/>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ookTitle">
    <w:name w:val="Book Title"/>
    <w:basedOn w:val="DefaultParagraphFont"/>
    <w:qFormat/>
    <w:rPr>
      <w:b/>
      <w:bCs/>
      <w:smallCaps/>
      <w:spacing w:val="5"/>
    </w:rPr>
  </w:style>
  <w:style w:type="character" w:styleId="IntenseReference">
    <w:name w:val="Intense Reference"/>
    <w:basedOn w:val="DefaultParagraphFont"/>
    <w:qFormat/>
    <w:rPr>
      <w:b/>
      <w:bCs/>
      <w:smallCaps/>
      <w:color w:themeColor="accent2" w:val="C0504D"/>
      <w:spacing w:val="5"/>
      <w:u w:val="single"/>
    </w:rPr>
  </w:style>
  <w:style w:type="character" w:styleId="SubtleReference">
    <w:name w:val="Subtle Reference"/>
    <w:basedOn w:val="DefaultParagraphFont"/>
    <w:qFormat/>
    <w:rPr>
      <w:smallCaps/>
      <w:color w:themeColor="accent2" w:val="C0504D"/>
      <w:u w:val="single"/>
    </w:rPr>
  </w:style>
  <w:style w:type="character" w:styleId="IntenseEmphasis">
    <w:name w:val="Intense Emphasis"/>
    <w:basedOn w:val="DefaultParagraphFont"/>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QuoteChar">
    <w:name w:val="Intense Quote Char"/>
    <w:basedOn w:val="DefaultParagraphFont"/>
    <w:qFormat/>
    <w:rPr>
      <w:b/>
      <w:bCs/>
      <w:i/>
      <w:iCs/>
      <w:color w:themeColor="accent1" w:val="4F81BD"/>
    </w:rPr>
  </w:style>
  <w:style w:type="character" w:styleId="Emphasis">
    <w:name w:val="Emphasis"/>
    <w:basedOn w:val="DefaultParagraphFont"/>
    <w:qFormat/>
    <w:rPr>
      <w:i/>
      <w:iCs/>
    </w:rPr>
  </w:style>
  <w:style w:type="character" w:styleId="Heading9Char">
    <w:name w:val="Heading 9 Char"/>
    <w:basedOn w:val="DefaultParagraphFont"/>
    <w:qFormat/>
    <w:rPr>
      <w:rFonts w:ascii="Calibri" w:hAnsi="Calibri" w:eastAsia="ＭＳ ゴシック" w:cs="Arial"/>
      <w:i/>
      <w:iCs/>
      <w:color w:themeColor="dark1" w:themeTint="bf" w:val="404040"/>
      <w:sz w:val="20"/>
      <w:szCs w:val="20"/>
    </w:rPr>
  </w:style>
  <w:style w:type="character" w:styleId="Heading8Char">
    <w:name w:val="Heading 8 Char"/>
    <w:basedOn w:val="DefaultParagraphFont"/>
    <w:qFormat/>
    <w:rPr>
      <w:rFonts w:ascii="Calibri" w:hAnsi="Calibri" w:eastAsia="ＭＳ ゴシック" w:cs="Arial"/>
      <w:color w:themeColor="accent1" w:val="4F81BD"/>
      <w:sz w:val="20"/>
      <w:szCs w:val="20"/>
    </w:rPr>
  </w:style>
  <w:style w:type="character" w:styleId="Heading7Char">
    <w:name w:val="Heading 7 Char"/>
    <w:basedOn w:val="DefaultParagraphFont"/>
    <w:qFormat/>
    <w:rPr>
      <w:rFonts w:ascii="Calibri" w:hAnsi="Calibri" w:eastAsia="ＭＳ ゴシック" w:cs="Arial"/>
      <w:i/>
      <w:iCs/>
      <w:color w:themeColor="dark1" w:themeTint="bf" w:val="404040"/>
    </w:rPr>
  </w:style>
  <w:style w:type="character" w:styleId="Heading6Char">
    <w:name w:val="Heading 6 Char"/>
    <w:basedOn w:val="DefaultParagraphFont"/>
    <w:qFormat/>
    <w:rPr>
      <w:rFonts w:ascii="Calibri" w:hAnsi="Calibri" w:eastAsia="ＭＳ ゴシック" w:cs="Arial"/>
      <w:i/>
      <w:iCs/>
      <w:color w:themeColor="accent1" w:themeShade="7f" w:val="243F60"/>
    </w:rPr>
  </w:style>
  <w:style w:type="character" w:styleId="Heading5Char">
    <w:name w:val="Heading 5 Char"/>
    <w:basedOn w:val="DefaultParagraphFont"/>
    <w:qFormat/>
    <w:rPr>
      <w:rFonts w:ascii="Calibri" w:hAnsi="Calibri" w:eastAsia="ＭＳ ゴシック" w:cs="Arial"/>
      <w:color w:themeColor="accent1" w:themeShade="7f" w:val="243F60"/>
    </w:rPr>
  </w:style>
  <w:style w:type="character" w:styleId="Heading4Char">
    <w:name w:val="Heading 4 Char"/>
    <w:basedOn w:val="DefaultParagraphFont"/>
    <w:qFormat/>
    <w:rPr>
      <w:rFonts w:ascii="Calibri" w:hAnsi="Calibri" w:eastAsia="ＭＳ ゴシック" w:cs="Arial"/>
      <w:b/>
      <w:bCs/>
      <w:i/>
      <w:iCs/>
      <w:color w:themeColor="accent1" w:val="4F81BD"/>
    </w:rPr>
  </w:style>
  <w:style w:type="character" w:styleId="QuoteChar">
    <w:name w:val="Quote Char"/>
    <w:basedOn w:val="DefaultParagraphFont"/>
    <w:qFormat/>
    <w:rPr>
      <w:i/>
      <w:iCs/>
      <w:color w:themeColor="dark1" w:val="000000"/>
    </w:rPr>
  </w:style>
  <w:style w:type="character" w:styleId="MacroTextChar">
    <w:name w:val="Macro Text Char"/>
    <w:basedOn w:val="DefaultParagraphFont"/>
    <w:qFormat/>
    <w:rPr>
      <w:rFonts w:ascii="Courier" w:hAnsi="Courier"/>
      <w:sz w:val="20"/>
      <w:szCs w:val="20"/>
    </w:rPr>
  </w:style>
  <w:style w:type="character" w:styleId="BodyText3Char">
    <w:name w:val="Body Text 3 Char"/>
    <w:basedOn w:val="DefaultParagraphFont"/>
    <w:qFormat/>
    <w:rPr>
      <w:sz w:val="16"/>
      <w:szCs w:val="16"/>
    </w:rPr>
  </w:style>
  <w:style w:type="character" w:styleId="BodyText2Char">
    <w:name w:val="Body Text 2 Char"/>
    <w:basedOn w:val="DefaultParagraphFont"/>
    <w:qFormat/>
    <w:rPr/>
  </w:style>
  <w:style w:type="character" w:styleId="BodyTextChar">
    <w:name w:val="Body Text Char"/>
    <w:basedOn w:val="DefaultParagraphFont"/>
    <w:qFormat/>
    <w:rPr/>
  </w:style>
  <w:style w:type="character" w:styleId="SubtitleChar">
    <w:name w:val="Subtitle Char"/>
    <w:basedOn w:val="DefaultParagraphFont"/>
    <w:qFormat/>
    <w:rPr>
      <w:rFonts w:ascii="Calibri" w:hAnsi="Calibri" w:eastAsia="ＭＳ ゴシック" w:cs="Arial"/>
      <w:i/>
      <w:iCs/>
      <w:color w:themeColor="accent1" w:val="4F81BD"/>
      <w:spacing w:val="15"/>
      <w:sz w:val="24"/>
      <w:szCs w:val="24"/>
    </w:rPr>
  </w:style>
  <w:style w:type="character" w:styleId="TitleChar">
    <w:name w:val="Title Char"/>
    <w:basedOn w:val="DefaultParagraphFont"/>
    <w:qFormat/>
    <w:rPr>
      <w:rFonts w:ascii="Calibri" w:hAnsi="Calibri" w:eastAsia="ＭＳ ゴシック" w:cs="Arial"/>
      <w:color w:themeColor="dark2" w:themeShade="bf" w:val="17365D"/>
      <w:spacing w:val="5"/>
      <w:kern w:val="2"/>
      <w:sz w:val="52"/>
      <w:szCs w:val="52"/>
    </w:rPr>
  </w:style>
  <w:style w:type="character" w:styleId="Heading3Char">
    <w:name w:val="Heading 3 Char"/>
    <w:basedOn w:val="DefaultParagraphFont"/>
    <w:qFormat/>
    <w:rPr>
      <w:rFonts w:ascii="Calibri" w:hAnsi="Calibri" w:eastAsia="ＭＳ ゴシック" w:cs="Arial"/>
      <w:b/>
      <w:bCs/>
      <w:color w:themeColor="accent1" w:val="4F81BD"/>
    </w:rPr>
  </w:style>
  <w:style w:type="character" w:styleId="Heading2Char">
    <w:name w:val="Heading 2 Char"/>
    <w:basedOn w:val="DefaultParagraphFont"/>
    <w:qFormat/>
    <w:rPr>
      <w:rFonts w:ascii="Calibri" w:hAnsi="Calibri" w:eastAsia="ＭＳ ゴシック" w:cs="Arial"/>
      <w:b/>
      <w:bCs/>
      <w:color w:themeColor="accent1" w:val="4F81BD"/>
      <w:sz w:val="26"/>
      <w:szCs w:val="26"/>
    </w:rPr>
  </w:style>
  <w:style w:type="character" w:styleId="Heading1Char">
    <w:name w:val="Heading 1 Char"/>
    <w:basedOn w:val="DefaultParagraphFont"/>
    <w:qFormat/>
    <w:rPr>
      <w:rFonts w:ascii="Calibri" w:hAnsi="Calibri" w:eastAsia="ＭＳ ゴシック" w:cs="Arial"/>
      <w:b/>
      <w:bCs/>
      <w:color w:themeColor="accent1" w:themeShade="bf" w:val="365F91"/>
      <w:sz w:val="28"/>
      <w:szCs w:val="28"/>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513" w:leader="none"/>
        <w:tab w:val="right" w:pos="9026" w:leader="none"/>
      </w:tabs>
      <w:spacing w:lineRule="auto" w:line="240"/>
    </w:pPr>
    <w:rPr/>
  </w:style>
  <w:style w:type="paragraph" w:styleId="Footer">
    <w:name w:val="Footer"/>
    <w:basedOn w:val="Normal"/>
    <w:link w:val="FooterChar"/>
    <w:pPr>
      <w:tabs>
        <w:tab w:val="clear" w:pos="720"/>
        <w:tab w:val="center" w:pos="4513" w:leader="none"/>
        <w:tab w:val="right" w:pos="9026" w:leader="none"/>
      </w:tabs>
      <w:spacing w:lineRule="auto" w:line="24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left="567" w:right="567"/>
    </w:pPr>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1"/>
    <w:next w:val="Normal"/>
    <w:qFormat/>
    <w:pPr>
      <w:outlineLvl w:val="9"/>
    </w:pPr>
    <w:rPr/>
  </w:style>
  <w:style w:type="paragraph" w:styleId="IntenseQuote">
    <w:name w:val="Intense Quote"/>
    <w:basedOn w:val="Normal"/>
    <w:next w:val="Normal"/>
    <w:qFormat/>
    <w:pPr>
      <w:pBdr>
        <w:bottom w:val="single" w:sz="4" w:space="4" w:color="4F81BD"/>
      </w:pBdr>
      <w:spacing w:before="200" w:after="280"/>
      <w:ind w:left="936" w:right="936"/>
    </w:pPr>
    <w:rPr>
      <w:b/>
      <w:bCs/>
      <w:i/>
      <w:iCs/>
      <w:color w:themeColor="accent1" w:val="4F81BD"/>
    </w:rPr>
  </w:style>
  <w:style w:type="paragraph" w:styleId="Quote">
    <w:name w:val="Quote"/>
    <w:basedOn w:val="Normal"/>
    <w:next w:val="Normal"/>
    <w:qFormat/>
    <w:pPr/>
    <w:rPr>
      <w:i/>
      <w:iCs/>
      <w:color w:themeColor="dark1" w:val="000000"/>
    </w:rPr>
  </w:style>
  <w:style w:type="paragraph" w:styleId="macro">
    <w:name w:val="macro"/>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Arial" w:cs="Arial"/>
      <w:color w:val="auto"/>
      <w:kern w:val="0"/>
      <w:sz w:val="20"/>
      <w:szCs w:val="20"/>
      <w:lang w:val="en-GB" w:eastAsia="en-IN" w:bidi="ar-SA"/>
    </w:rPr>
  </w:style>
  <w:style w:type="paragraph" w:styleId="ListContinue3">
    <w:name w:val="List Continue 3"/>
    <w:basedOn w:val="Normal"/>
    <w:pPr>
      <w:spacing w:before="0" w:after="120"/>
      <w:ind w:left="1080"/>
      <w:contextualSpacing/>
    </w:pPr>
    <w:rPr/>
  </w:style>
  <w:style w:type="paragraph" w:styleId="ListContinue2">
    <w:name w:val="List Continue 2"/>
    <w:basedOn w:val="Normal"/>
    <w:pPr>
      <w:spacing w:before="0" w:after="120"/>
      <w:ind w:left="720"/>
      <w:contextualSpacing/>
    </w:pPr>
    <w:rPr/>
  </w:style>
  <w:style w:type="paragraph" w:styleId="ListContinue">
    <w:name w:val="List Continue"/>
    <w:basedOn w:val="Normal"/>
    <w:pPr>
      <w:spacing w:before="0" w:after="120"/>
      <w:ind w:left="360"/>
      <w:contextualSpacing/>
    </w:pPr>
    <w:rPr/>
  </w:style>
  <w:style w:type="paragraph" w:styleId="ListNumber3">
    <w:name w:val="List Number 3"/>
    <w:basedOn w:val="Normal"/>
    <w:pPr>
      <w:numPr>
        <w:ilvl w:val="0"/>
        <w:numId w:val="7"/>
      </w:numPr>
      <w:spacing w:before="0" w:after="200"/>
      <w:contextualSpacing/>
    </w:pPr>
    <w:rPr/>
  </w:style>
  <w:style w:type="paragraph" w:styleId="ListNumber2">
    <w:name w:val="List Number 2"/>
    <w:basedOn w:val="Normal"/>
    <w:pPr>
      <w:numPr>
        <w:ilvl w:val="0"/>
        <w:numId w:val="6"/>
      </w:numPr>
      <w:spacing w:before="0" w:after="200"/>
      <w:contextualSpacing/>
    </w:pPr>
    <w:rPr/>
  </w:style>
  <w:style w:type="paragraph" w:styleId="ListNumber">
    <w:name w:val="List Number"/>
    <w:basedOn w:val="Normal"/>
    <w:pPr>
      <w:numPr>
        <w:ilvl w:val="0"/>
        <w:numId w:val="5"/>
      </w:numPr>
      <w:spacing w:before="0" w:after="200"/>
      <w:contextualSpacing/>
    </w:pPr>
    <w:rPr/>
  </w:style>
  <w:style w:type="paragraph" w:styleId="ListBullet3">
    <w:name w:val="List Bullet 3"/>
    <w:basedOn w:val="Normal"/>
    <w:pPr>
      <w:numPr>
        <w:ilvl w:val="0"/>
        <w:numId w:val="4"/>
      </w:numPr>
      <w:spacing w:before="0" w:after="200"/>
      <w:contextualSpacing/>
    </w:pPr>
    <w:rPr/>
  </w:style>
  <w:style w:type="paragraph" w:styleId="ListBullet2">
    <w:name w:val="List Bullet 2"/>
    <w:basedOn w:val="Normal"/>
    <w:pPr>
      <w:numPr>
        <w:ilvl w:val="0"/>
        <w:numId w:val="3"/>
      </w:numPr>
      <w:spacing w:before="0" w:after="200"/>
      <w:contextualSpacing/>
    </w:pPr>
    <w:rPr/>
  </w:style>
  <w:style w:type="paragraph" w:styleId="ListBullet">
    <w:name w:val="List Bullet"/>
    <w:basedOn w:val="Normal"/>
    <w:pPr>
      <w:numPr>
        <w:ilvl w:val="0"/>
        <w:numId w:val="2"/>
      </w:numPr>
      <w:spacing w:before="0" w:after="200"/>
      <w:contextualSpacing/>
    </w:pPr>
    <w:rPr/>
  </w:style>
  <w:style w:type="paragraph" w:styleId="List3">
    <w:name w:val="List 3"/>
    <w:basedOn w:val="Normal"/>
    <w:qFormat/>
    <w:pPr>
      <w:spacing w:before="0" w:after="200"/>
      <w:ind w:hanging="360" w:left="1080"/>
      <w:contextualSpacing/>
    </w:pPr>
    <w:rPr/>
  </w:style>
  <w:style w:type="paragraph" w:styleId="List2">
    <w:name w:val="List 2"/>
    <w:basedOn w:val="Normal"/>
    <w:qFormat/>
    <w:pPr>
      <w:spacing w:before="0" w:after="200"/>
      <w:ind w:hanging="360" w:left="720"/>
      <w:contextualSpacing/>
    </w:pPr>
    <w:rPr/>
  </w:style>
  <w:style w:type="paragraph" w:styleId="BodyText3">
    <w:name w:val="Body Text 3"/>
    <w:basedOn w:val="Normal"/>
    <w:qFormat/>
    <w:pPr>
      <w:spacing w:before="0" w:after="120"/>
    </w:pPr>
    <w:rPr>
      <w:sz w:val="16"/>
      <w:szCs w:val="16"/>
    </w:rPr>
  </w:style>
  <w:style w:type="paragraph" w:styleId="BodyText2">
    <w:name w:val="Body Text 2"/>
    <w:basedOn w:val="Normal"/>
    <w:qFormat/>
    <w:pPr>
      <w:spacing w:lineRule="auto" w:line="480" w:before="0" w:after="120"/>
    </w:pPr>
    <w:rPr/>
  </w:style>
  <w:style w:type="paragraph" w:styleId="ListParagraph">
    <w:name w:val="List Paragraph"/>
    <w:basedOn w:val="Normal"/>
    <w:qFormat/>
    <w:pPr>
      <w:spacing w:before="0" w:after="200"/>
      <w:ind w:left="720"/>
      <w:contextualSpacing/>
    </w:pPr>
    <w:rPr/>
  </w:style>
  <w:style w:type="paragraph" w:styleId="NoSpacing">
    <w:name w:val="No Spacing"/>
    <w:qFormat/>
    <w:pPr>
      <w:widowControl/>
      <w:suppressAutoHyphens w:val="true"/>
      <w:bidi w:val="0"/>
      <w:spacing w:lineRule="auto" w:line="240" w:before="0" w:after="0"/>
      <w:jc w:val="left"/>
    </w:pPr>
    <w:rPr>
      <w:rFonts w:ascii="Arial" w:hAnsi="Arial" w:eastAsia="Arial" w:cs="Arial"/>
      <w:color w:val="auto"/>
      <w:kern w:val="0"/>
      <w:sz w:val="22"/>
      <w:szCs w:val="22"/>
      <w:lang w:val="en-GB" w:eastAsia="en-IN" w:bidi="ar-SA"/>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91</TotalTime>
  <Application>LibreOffice/24.2.7.2$Linux_X86_64 LibreOffice_project/420$Build-2</Application>
  <AppVersion>15.0000</AppVersion>
  <Pages>3</Pages>
  <Words>209</Words>
  <Characters>1012</Characters>
  <CharactersWithSpaces>1223</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2026-03-31T05:00:00Z</dcterms:created>
  <dc:creator/>
  <dc:description/>
  <dc:language>en-US</dc:language>
  <cp:lastModifiedBy/>
  <dcterms:modified xsi:type="dcterms:W3CDTF">2026-04-27T20:19:06Z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