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spacing w:before="400" w:after="120"/>
        <w:ind w:hanging="0" w:left="0"/>
        <w:jc w:val="center"/>
        <w:rPr>
          <w:rFonts w:ascii="hack" w:hAnsi="hack"/>
          <w:sz w:val="40"/>
          <w:szCs w:val="40"/>
        </w:rPr>
      </w:pPr>
      <w:r>
        <w:rPr>
          <w:rFonts w:ascii="hack" w:hAnsi="hack"/>
          <w:b/>
          <w:bCs/>
          <w:sz w:val="40"/>
          <w:szCs w:val="40"/>
        </w:rPr>
        <w:t>Automated Attack Orchestration Lab Report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1. Objective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The objective of this lab was to simulate and automate a multi-phase cyber attack scenario using MITRE Caldera and Red Team Automation (RTA). The exercise focused on automated adversary emulation, attack orchestration, and telemetry monitoring using ATT&amp;CK techniques.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2. Tools Used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b/>
          <w:bCs/>
          <w:sz w:val="24"/>
          <w:szCs w:val="24"/>
        </w:rPr>
        <w:t xml:space="preserve">• </w:t>
      </w:r>
      <w:r>
        <w:rPr>
          <w:rFonts w:ascii="hack" w:hAnsi="hack"/>
          <w:b/>
          <w:bCs/>
          <w:sz w:val="24"/>
          <w:szCs w:val="24"/>
        </w:rPr>
        <w:t xml:space="preserve">MITRE Caldera </w:t>
      </w:r>
      <w:r>
        <w:rPr>
          <w:rFonts w:ascii="hack" w:hAnsi="hack"/>
          <w:sz w:val="24"/>
          <w:szCs w:val="24"/>
        </w:rPr>
        <w:t>– Automated adversary emulation</w:t>
        <w:br/>
      </w:r>
      <w:r>
        <w:rPr>
          <w:rFonts w:ascii="hack" w:hAnsi="hack"/>
          <w:b/>
          <w:bCs/>
          <w:sz w:val="24"/>
          <w:szCs w:val="24"/>
        </w:rPr>
        <w:t xml:space="preserve">• Red Team Automation (RTA) </w:t>
      </w:r>
      <w:r>
        <w:rPr>
          <w:rFonts w:ascii="hack" w:hAnsi="hack"/>
          <w:sz w:val="24"/>
          <w:szCs w:val="24"/>
        </w:rPr>
        <w:t>– ATT&amp;CK technique automation</w:t>
        <w:br/>
      </w:r>
      <w:r>
        <w:rPr>
          <w:rFonts w:ascii="hack" w:hAnsi="hack"/>
          <w:b/>
          <w:bCs/>
          <w:sz w:val="24"/>
          <w:szCs w:val="24"/>
        </w:rPr>
        <w:t>• Kibana/Elasticsearch</w:t>
      </w:r>
      <w:r>
        <w:rPr>
          <w:rFonts w:ascii="hack" w:hAnsi="hack"/>
          <w:sz w:val="24"/>
          <w:szCs w:val="24"/>
        </w:rPr>
        <w:t xml:space="preserve"> – Monitoring and visualization</w:t>
        <w:br/>
      </w:r>
      <w:r>
        <w:rPr>
          <w:rFonts w:ascii="hack" w:hAnsi="hack"/>
          <w:b/>
          <w:bCs/>
          <w:sz w:val="24"/>
          <w:szCs w:val="24"/>
        </w:rPr>
        <w:t>• Linux Terminal</w:t>
      </w:r>
      <w:r>
        <w:rPr>
          <w:rFonts w:ascii="hack" w:hAnsi="hack"/>
          <w:sz w:val="24"/>
          <w:szCs w:val="24"/>
        </w:rPr>
        <w:t xml:space="preserve"> – Agent execution and control</w:t>
        <w:br/>
      </w:r>
    </w:p>
    <w:p>
      <w:pPr>
        <w:pStyle w:val="HorizontalLine"/>
        <w:numPr>
          <w:ilvl w:val="1"/>
          <w:numId w:val="1"/>
        </w:numPr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3. Methodology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The lab involved configuring adversary profiles, deploying agents, selecting ATT&amp;CK techniques, launching operations, and validating telemetry through centralized monitoring dashboards.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4. Step-by-Step Execution</w:t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Step 1 – Launching MITRE Caldera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MITRE Caldera was initialized successfully in the Linux environment and plugins were loaded correctly.</w:t>
        <w:br/>
        <w:b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0</wp:posOffset>
            </wp:positionH>
            <wp:positionV relativeFrom="paragraph">
              <wp:posOffset>196850</wp:posOffset>
            </wp:positionV>
            <wp:extent cx="5731510" cy="28206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numPr>
          <w:ilvl w:val="1"/>
          <w:numId w:val="1"/>
        </w:numPr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Step 2 – Accessing the Dashboard</w:t>
      </w:r>
    </w:p>
    <w:p>
      <w:pPr>
        <w:pStyle w:val="Normal"/>
        <w:rPr>
          <w:rFonts w:ascii="hack" w:hAnsi="hack"/>
          <w:sz w:val="24"/>
          <w:szCs w:val="24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0</wp:posOffset>
            </wp:positionH>
            <wp:positionV relativeFrom="paragraph">
              <wp:posOffset>954405</wp:posOffset>
            </wp:positionV>
            <wp:extent cx="5731510" cy="28206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ack" w:hAnsi="hack"/>
          <w:sz w:val="24"/>
          <w:szCs w:val="24"/>
        </w:rPr>
        <w:t>The Caldera dashboard was accessed through the web interface to manage operations, agents, and adversary profiles.</w:t>
        <w:br/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orizontalLine"/>
        <w:rPr/>
      </w:pPr>
      <w:r>
        <w:rPr/>
        <w:b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Step 3 – Creating Adversary Profiles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Adversary profiles were configured to define attack chains and ATT&amp;CK-based abilities.</w:t>
        <w:br/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2067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2067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orizontalLine"/>
        <w:rPr/>
      </w:pPr>
      <w:r>
        <w:rPr/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Step 4 – ATT&amp;CK Technique Selection</w:t>
      </w:r>
    </w:p>
    <w:p>
      <w:pPr>
        <w:pStyle w:val="Normal"/>
        <w:rPr>
          <w:rFonts w:ascii="hack" w:hAnsi="hack"/>
          <w:sz w:val="24"/>
          <w:szCs w:val="24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0</wp:posOffset>
            </wp:positionH>
            <wp:positionV relativeFrom="paragraph">
              <wp:posOffset>525780</wp:posOffset>
            </wp:positionV>
            <wp:extent cx="5731510" cy="282067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ack" w:hAnsi="hack"/>
          <w:sz w:val="24"/>
          <w:szCs w:val="24"/>
        </w:rPr>
        <w:t>Multiple ATT&amp;CK techniques were selected for execution, persistence, discovery, and exploitation simulation.</w:t>
        <w:br/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47625</wp:posOffset>
            </wp:positionH>
            <wp:positionV relativeFrom="paragraph">
              <wp:posOffset>-19050</wp:posOffset>
            </wp:positionV>
            <wp:extent cx="5731510" cy="282067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rPr/>
      </w:pPr>
      <w:r>
        <w:rPr/>
      </w:r>
    </w:p>
    <w:p>
      <w:pPr>
        <w:pStyle w:val="Normal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Step 5 – Reviewing Abilities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The available attack abilities and execution modules were reviewed before launching the operation.</w:t>
        <w:br/>
        <w:br/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0</wp:posOffset>
            </wp:positionH>
            <wp:positionV relativeFrom="paragraph">
              <wp:posOffset>251460</wp:posOffset>
            </wp:positionV>
            <wp:extent cx="5731510" cy="282067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Step 6 – Agent Registration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Agents were deployed and successfully registered with the Caldera server.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2067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Step 7 – Operation Execution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The automated operation was launched using the configured adversary profile, executing multiple attack stages.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2067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2067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Step 8 – Monitoring Logs and Events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Kibana and Elasticsearch dashboards were used to monitor telemetry, logs, and attack events.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0</wp:posOffset>
            </wp:positionH>
            <wp:positionV relativeFrom="paragraph">
              <wp:posOffset>476885</wp:posOffset>
            </wp:positionV>
            <wp:extent cx="5731510" cy="282067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-122555</wp:posOffset>
            </wp:positionH>
            <wp:positionV relativeFrom="paragraph">
              <wp:posOffset>46990</wp:posOffset>
            </wp:positionV>
            <wp:extent cx="5731510" cy="282067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orizontalLine"/>
        <w:rPr/>
      </w:pPr>
      <w:r>
        <w:rPr/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Step 9 – Reviewing Attack Artifacts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Detailed attack traces and event information were reviewed for validation.</w:t>
        <w:br/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2067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0</wp:posOffset>
            </wp:positionH>
            <wp:positionV relativeFrom="paragraph">
              <wp:posOffset>75565</wp:posOffset>
            </wp:positionV>
            <wp:extent cx="5731510" cy="282067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Step 10 – Final Validation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Final dashboards confirmed successful orchestration and telemetry collection.</w:t>
        <w:br/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posOffset>-156210</wp:posOffset>
            </wp:positionH>
            <wp:positionV relativeFrom="paragraph">
              <wp:posOffset>265430</wp:posOffset>
            </wp:positionV>
            <wp:extent cx="5731510" cy="282067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orizontalLine"/>
        <w:rPr/>
      </w:pPr>
      <w:r>
        <w:rPr/>
      </w:r>
    </w:p>
    <w:p>
      <w:pPr>
        <w:pStyle w:val="Normal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5. Attack Orchestration Table</w:t>
      </w:r>
    </w:p>
    <w:p>
      <w:pPr>
        <w:pStyle w:val="Normal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</w:r>
    </w:p>
    <w:tbl>
      <w:tblPr>
        <w:tblW w:w="902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1243"/>
        <w:gridCol w:w="1586"/>
        <w:gridCol w:w="4091"/>
      </w:tblGrid>
      <w:tr>
        <w:trPr/>
        <w:tc>
          <w:tcPr>
            <w:tcW w:w="2100" w:type="dxa"/>
            <w:tcBorders/>
          </w:tcPr>
          <w:p>
            <w:pPr>
              <w:pStyle w:val="Normal"/>
              <w:rPr>
                <w:rFonts w:ascii="hack" w:hAnsi="hack"/>
                <w:b/>
                <w:bCs/>
                <w:sz w:val="24"/>
                <w:szCs w:val="24"/>
              </w:rPr>
            </w:pPr>
            <w:r>
              <w:rPr>
                <w:rFonts w:ascii="hack" w:hAnsi="hack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1243" w:type="dxa"/>
            <w:tcBorders/>
          </w:tcPr>
          <w:p>
            <w:pPr>
              <w:pStyle w:val="Normal"/>
              <w:rPr>
                <w:rFonts w:ascii="hack" w:hAnsi="hack"/>
                <w:b/>
                <w:bCs/>
                <w:sz w:val="24"/>
                <w:szCs w:val="24"/>
              </w:rPr>
            </w:pPr>
            <w:r>
              <w:rPr>
                <w:rFonts w:ascii="hack" w:hAnsi="hack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hack" w:hAnsi="hack"/>
                <w:b/>
                <w:bCs/>
                <w:sz w:val="24"/>
                <w:szCs w:val="24"/>
              </w:rPr>
              <w:t>TTP</w:t>
            </w:r>
          </w:p>
        </w:tc>
        <w:tc>
          <w:tcPr>
            <w:tcW w:w="1586" w:type="dxa"/>
            <w:tcBorders/>
          </w:tcPr>
          <w:p>
            <w:pPr>
              <w:pStyle w:val="Normal"/>
              <w:rPr>
                <w:rFonts w:ascii="hack" w:hAnsi="hack"/>
                <w:b/>
                <w:bCs/>
                <w:sz w:val="24"/>
                <w:szCs w:val="24"/>
              </w:rPr>
            </w:pPr>
            <w:r>
              <w:rPr>
                <w:rFonts w:ascii="hack" w:hAnsi="hack"/>
                <w:b/>
                <w:bCs/>
                <w:sz w:val="24"/>
                <w:szCs w:val="24"/>
              </w:rPr>
              <w:t>Tool Used</w:t>
            </w:r>
          </w:p>
        </w:tc>
        <w:tc>
          <w:tcPr>
            <w:tcW w:w="4091" w:type="dxa"/>
            <w:tcBorders/>
          </w:tcPr>
          <w:p>
            <w:pPr>
              <w:pStyle w:val="Normal"/>
              <w:rPr>
                <w:rFonts w:ascii="hack" w:hAnsi="hack"/>
                <w:b/>
                <w:bCs/>
                <w:sz w:val="24"/>
                <w:szCs w:val="24"/>
              </w:rPr>
            </w:pPr>
            <w:r>
              <w:rPr>
                <w:rFonts w:ascii="hack" w:hAnsi="hack"/>
                <w:b/>
                <w:bCs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Initial Access</w:t>
            </w:r>
          </w:p>
        </w:tc>
        <w:tc>
          <w:tcPr>
            <w:tcW w:w="1243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T1566</w:t>
            </w:r>
          </w:p>
        </w:tc>
        <w:tc>
          <w:tcPr>
            <w:tcW w:w="1586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Caldera</w:t>
            </w:r>
          </w:p>
        </w:tc>
        <w:tc>
          <w:tcPr>
            <w:tcW w:w="4091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Simulated phishing access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Execution</w:t>
            </w:r>
          </w:p>
        </w:tc>
        <w:tc>
          <w:tcPr>
            <w:tcW w:w="1243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T1059</w:t>
            </w:r>
          </w:p>
        </w:tc>
        <w:tc>
          <w:tcPr>
            <w:tcW w:w="1586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Caldera</w:t>
            </w:r>
          </w:p>
        </w:tc>
        <w:tc>
          <w:tcPr>
            <w:tcW w:w="4091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Automated command execution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Persistence</w:t>
            </w:r>
          </w:p>
        </w:tc>
        <w:tc>
          <w:tcPr>
            <w:tcW w:w="1243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T1547</w:t>
            </w:r>
          </w:p>
        </w:tc>
        <w:tc>
          <w:tcPr>
            <w:tcW w:w="1586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Caldera</w:t>
            </w:r>
          </w:p>
        </w:tc>
        <w:tc>
          <w:tcPr>
            <w:tcW w:w="4091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Persistence simulation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Discovery</w:t>
            </w:r>
          </w:p>
        </w:tc>
        <w:tc>
          <w:tcPr>
            <w:tcW w:w="1243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T1082</w:t>
            </w:r>
          </w:p>
        </w:tc>
        <w:tc>
          <w:tcPr>
            <w:tcW w:w="1586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RTA</w:t>
            </w:r>
          </w:p>
        </w:tc>
        <w:tc>
          <w:tcPr>
            <w:tcW w:w="4091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System discovery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Credential Access</w:t>
            </w:r>
          </w:p>
        </w:tc>
        <w:tc>
          <w:tcPr>
            <w:tcW w:w="1243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T1003</w:t>
            </w:r>
          </w:p>
        </w:tc>
        <w:tc>
          <w:tcPr>
            <w:tcW w:w="1586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RTA</w:t>
            </w:r>
          </w:p>
        </w:tc>
        <w:tc>
          <w:tcPr>
            <w:tcW w:w="4091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Credential dumping simulation</w:t>
            </w:r>
          </w:p>
        </w:tc>
      </w:tr>
      <w:tr>
        <w:trPr>
          <w:trHeight w:val="444" w:hRule="atLeast"/>
        </w:trPr>
        <w:tc>
          <w:tcPr>
            <w:tcW w:w="2100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Exploitation</w:t>
            </w:r>
          </w:p>
        </w:tc>
        <w:tc>
          <w:tcPr>
            <w:tcW w:w="1243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T1190</w:t>
            </w:r>
          </w:p>
        </w:tc>
        <w:tc>
          <w:tcPr>
            <w:tcW w:w="1586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Caldera</w:t>
            </w:r>
          </w:p>
        </w:tc>
        <w:tc>
          <w:tcPr>
            <w:tcW w:w="4091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Automated RCE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Exfiltration</w:t>
            </w:r>
          </w:p>
        </w:tc>
        <w:tc>
          <w:tcPr>
            <w:tcW w:w="1243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T1041</w:t>
            </w:r>
          </w:p>
        </w:tc>
        <w:tc>
          <w:tcPr>
            <w:tcW w:w="1586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Caldera</w:t>
            </w:r>
          </w:p>
        </w:tc>
        <w:tc>
          <w:tcPr>
            <w:tcW w:w="4091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Simulated exfiltration</w:t>
            </w:r>
          </w:p>
        </w:tc>
      </w:tr>
    </w:tbl>
    <w:p>
      <w:pPr>
        <w:pStyle w:val="HorizontalLine"/>
        <w:rPr/>
      </w:pPr>
      <w:r>
        <w:rPr/>
        <w:b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6. Results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The automated orchestration successfully executed multiple ATT&amp;CK techniques. Agents communicated correctly with the server, operations were completed successfully, and telemetry was captured through Kibana dashboards.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7. Challenges Faced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 xml:space="preserve">• </w:t>
      </w:r>
      <w:r>
        <w:rPr>
          <w:rFonts w:ascii="hack" w:hAnsi="hack"/>
          <w:sz w:val="24"/>
          <w:szCs w:val="24"/>
        </w:rPr>
        <w:t>Agent communication delays</w:t>
        <w:br/>
        <w:t>• Ability execution issues</w:t>
        <w:br/>
        <w:t>• Telemetry indexing delays</w:t>
        <w:br/>
        <w:t>• Configuration complexity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8. Security Recommendations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 xml:space="preserve">• </w:t>
      </w:r>
      <w:r>
        <w:rPr>
          <w:rFonts w:ascii="hack" w:hAnsi="hack"/>
          <w:sz w:val="24"/>
          <w:szCs w:val="24"/>
        </w:rPr>
        <w:t>Deploy centralized log monitoring</w:t>
        <w:br/>
        <w:t>• Use EDR for behavioral detection</w:t>
        <w:br/>
        <w:t>• Monitor abnormal process execution</w:t>
        <w:br/>
        <w:t>• Validate detections using ATT&amp;CK simulations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9. Orchestration Summary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This lab demonstrated automated attack orchestration using MITRE Caldera and Red Team Automation. Multiple ATT&amp;CK techniques were executed through automated operations, including execution, persistence, discovery, and exploitation phases. Telemetry and logs were monitored using Kibana, validating successful adversary emulation, centralized monitoring, and multi-stage attack simulation.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10. Conclusion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The lab successfully demonstrated automated adversary emulation using MITRE Caldera. The exercise provided practical exposure to ATT&amp;CK-based orchestration, telemetry analysis, operation execution, and centralized monitoring within a controlled lab environment.</w:t>
        <w:br/>
      </w:r>
    </w:p>
    <w:p>
      <w:pPr>
        <w:pStyle w:val="HorizontalLine"/>
        <w:spacing w:before="0" w:after="283"/>
        <w:rPr/>
      </w:pPr>
      <w:r>
        <w:rPr/>
      </w:r>
    </w:p>
    <w:sectPr>
      <w:headerReference w:type="even" r:id="rId17"/>
      <w:headerReference w:type="default" r:id="rId18"/>
      <w:headerReference w:type="first" r:id="rId19"/>
      <w:footerReference w:type="even" r:id="rId20"/>
      <w:footerReference w:type="default" r:id="rId21"/>
      <w:footerReference w:type="first" r:id="rId22"/>
      <w:type w:val="nextPage"/>
      <w:pgSz w:w="11906" w:h="16838"/>
      <w:pgMar w:left="1440" w:right="1440" w:gutter="0" w:header="576" w:top="1440" w:footer="432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ack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18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19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1" distT="114300" distB="114300" distL="114300" distR="114300" simplePos="0" locked="0" layoutInCell="0" allowOverlap="1" relativeHeight="11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6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1" distT="114300" distB="114300" distL="114300" distR="114300" simplePos="0" locked="0" layoutInCell="0" allowOverlap="1" relativeHeight="11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7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ＭＳ ゴシック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ＭＳ ゴシック" w:cs="Arial"/>
      <w:b/>
      <w:bCs/>
      <w:color w:themeColor="accent1" w:themeShade="bf" w:val="365F91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Arial" w:cs="Arial"/>
      <w:color w:val="auto"/>
      <w:kern w:val="0"/>
      <w:sz w:val="20"/>
      <w:szCs w:val="20"/>
      <w:lang w:val="en-GB" w:eastAsia="en-IN" w:bidi="ar-SA"/>
    </w:rPr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6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Application>LibreOffice/24.2.7.2$Linux_X86_64 LibreOffice_project/420$Build-2</Application>
  <AppVersion>15.0000</AppVersion>
  <Pages>10</Pages>
  <Words>468</Words>
  <Characters>3195</Characters>
  <CharactersWithSpaces>3618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2026-03-31T05:00:00Z</dcterms:created>
  <dc:creator/>
  <dc:description/>
  <dc:language>en-US</dc:language>
  <cp:lastModifiedBy/>
  <dcterms:modified xsi:type="dcterms:W3CDTF">2026-05-12T12:09:38Z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