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00" w:after="120"/>
        <w:jc w:val="left"/>
        <w:rPr>
          <w:rFonts w:ascii="hack" w:hAnsi="hack"/>
          <w:b/>
          <w:bCs/>
          <w:color w:val="000000"/>
          <w:sz w:val="40"/>
          <w:szCs w:val="40"/>
        </w:rPr>
      </w:pPr>
      <w:r>
        <w:rPr>
          <w:rFonts w:ascii="hack" w:hAnsi="hack"/>
          <w:b/>
          <w:bCs/>
          <w:color w:val="000000"/>
          <w:sz w:val="40"/>
          <w:szCs w:val="40"/>
        </w:rPr>
        <w:t>Comprehensive Reporting Lab Report</w:t>
      </w:r>
    </w:p>
    <w:p>
      <w:pPr>
        <w:pStyle w:val="HorizontalLine"/>
        <w:rPr/>
      </w:pPr>
      <w:r>
        <w:rPr/>
      </w:r>
    </w:p>
    <w:p>
      <w:pPr>
        <w:pStyle w:val="Heading2"/>
        <w:rPr>
          <w:rFonts w:ascii="hack" w:hAnsi="hack"/>
          <w:b/>
          <w:bCs/>
          <w:sz w:val="36"/>
          <w:szCs w:val="36"/>
        </w:rPr>
      </w:pPr>
      <w:r>
        <w:rPr>
          <w:rFonts w:ascii="hack" w:hAnsi="hack"/>
          <w:b/>
          <w:bCs/>
          <w:sz w:val="36"/>
          <w:szCs w:val="36"/>
        </w:rPr>
        <w:t>1. Lab Overview</w:t>
      </w:r>
    </w:p>
    <w:p>
      <w:pPr>
        <w:pStyle w:val="Normal"/>
        <w:rPr>
          <w:rFonts w:ascii="hack" w:hAnsi="hack"/>
          <w:sz w:val="24"/>
          <w:szCs w:val="24"/>
        </w:rPr>
      </w:pPr>
      <w:r>
        <w:rPr>
          <w:rFonts w:ascii="hack" w:hAnsi="hack"/>
          <w:sz w:val="24"/>
          <w:szCs w:val="24"/>
        </w:rPr>
        <w:t>This lab focused on creating a professional PTES-compliant red team report using Google Docs and Draw.io. Activities included documenting findings, creating attack path visualizations, assigning CVSS scores, and preparing an executive-level summary.</w:t>
      </w:r>
    </w:p>
    <w:p>
      <w:pPr>
        <w:pStyle w:val="Normal"/>
        <w:rPr>
          <w:rFonts w:ascii="hack" w:hAnsi="hack"/>
          <w:sz w:val="24"/>
          <w:szCs w:val="24"/>
        </w:rPr>
      </w:pPr>
      <w:r>
        <w:rPr>
          <w:rFonts w:ascii="hack" w:hAnsi="hack"/>
          <w:sz w:val="24"/>
          <w:szCs w:val="24"/>
        </w:rPr>
      </w:r>
    </w:p>
    <w:p>
      <w:pPr>
        <w:pStyle w:val="HorizontalLine"/>
        <w:rPr/>
      </w:pPr>
      <w:r>
        <w:rPr/>
      </w:r>
    </w:p>
    <w:p>
      <w:pPr>
        <w:pStyle w:val="Heading2"/>
        <w:rPr>
          <w:rFonts w:ascii="hack" w:hAnsi="hack"/>
          <w:b/>
          <w:bCs/>
          <w:sz w:val="36"/>
          <w:szCs w:val="36"/>
        </w:rPr>
      </w:pPr>
      <w:r>
        <w:rPr>
          <w:rFonts w:ascii="hack" w:hAnsi="hack"/>
          <w:b/>
          <w:bCs/>
          <w:sz w:val="36"/>
          <w:szCs w:val="36"/>
        </w:rPr>
        <w:t>2. Tools Used</w:t>
      </w:r>
    </w:p>
    <w:p>
      <w:pPr>
        <w:pStyle w:val="Normal"/>
        <w:rPr>
          <w:rFonts w:ascii="hack" w:hAnsi="hack"/>
          <w:sz w:val="24"/>
          <w:szCs w:val="24"/>
        </w:rPr>
      </w:pPr>
      <w:r>
        <w:rPr>
          <w:rFonts w:ascii="hack" w:hAnsi="hack"/>
          <w:sz w:val="24"/>
          <w:szCs w:val="24"/>
        </w:rPr>
        <w:t xml:space="preserve">• </w:t>
      </w:r>
      <w:r>
        <w:rPr>
          <w:rFonts w:ascii="hack" w:hAnsi="hack"/>
          <w:sz w:val="24"/>
          <w:szCs w:val="24"/>
        </w:rPr>
        <w:t>Google Docs</w:t>
        <w:br/>
        <w:t>• Draw.io</w:t>
      </w:r>
    </w:p>
    <w:p>
      <w:pPr>
        <w:pStyle w:val="Normal"/>
        <w:rPr>
          <w:rFonts w:ascii="hack" w:hAnsi="hack"/>
          <w:sz w:val="24"/>
          <w:szCs w:val="24"/>
        </w:rPr>
      </w:pPr>
      <w:r>
        <w:rPr>
          <w:rFonts w:ascii="hack" w:hAnsi="hack"/>
          <w:sz w:val="24"/>
          <w:szCs w:val="24"/>
        </w:rPr>
      </w:r>
    </w:p>
    <w:p>
      <w:pPr>
        <w:pStyle w:val="HorizontalLine"/>
        <w:rPr/>
      </w:pPr>
      <w:r>
        <w:rPr/>
      </w:r>
    </w:p>
    <w:p>
      <w:pPr>
        <w:pStyle w:val="Heading2"/>
        <w:rPr>
          <w:rFonts w:ascii="hack" w:hAnsi="hack"/>
          <w:b/>
          <w:bCs/>
          <w:sz w:val="36"/>
          <w:szCs w:val="36"/>
        </w:rPr>
      </w:pPr>
      <w:r>
        <w:rPr>
          <w:rFonts w:ascii="hack" w:hAnsi="hack"/>
          <w:b/>
          <w:bCs/>
          <w:sz w:val="36"/>
          <w:szCs w:val="36"/>
        </w:rPr>
        <w:t>3. Executive Summary</w:t>
      </w:r>
    </w:p>
    <w:p>
      <w:pPr>
        <w:pStyle w:val="Normal"/>
        <w:rPr>
          <w:rFonts w:ascii="hack" w:hAnsi="hack"/>
          <w:sz w:val="24"/>
          <w:szCs w:val="24"/>
        </w:rPr>
      </w:pPr>
      <w:r>
        <w:rPr>
          <w:rFonts w:ascii="hack" w:hAnsi="hack"/>
          <w:sz w:val="24"/>
          <w:szCs w:val="24"/>
        </w:rPr>
        <w:t>A simulated red team engagement was conducted to evaluate the organization’s security posture against realistic adversarial techniques. The assessment identified weaknesses in phishing resistance, credential management, endpoint visibility, and privilege escalation controls.</w:t>
      </w:r>
    </w:p>
    <w:p>
      <w:pPr>
        <w:pStyle w:val="Normal"/>
        <w:rPr>
          <w:rFonts w:ascii="hack" w:hAnsi="hack"/>
          <w:sz w:val="24"/>
          <w:szCs w:val="24"/>
        </w:rPr>
      </w:pPr>
      <w:r>
        <w:rPr>
          <w:rFonts w:ascii="hack" w:hAnsi="hack"/>
          <w:sz w:val="24"/>
          <w:szCs w:val="24"/>
        </w:rPr>
      </w:r>
    </w:p>
    <w:p>
      <w:pPr>
        <w:pStyle w:val="HorizontalLine"/>
        <w:rPr/>
      </w:pPr>
      <w:r>
        <w:rPr/>
      </w:r>
    </w:p>
    <w:p>
      <w:pPr>
        <w:pStyle w:val="Heading2"/>
        <w:rPr>
          <w:rFonts w:ascii="hack" w:hAnsi="hack"/>
          <w:b/>
          <w:bCs/>
          <w:sz w:val="36"/>
          <w:szCs w:val="36"/>
        </w:rPr>
      </w:pPr>
      <w:r>
        <w:rPr>
          <w:rFonts w:ascii="hack" w:hAnsi="hack"/>
          <w:b/>
          <w:bCs/>
          <w:sz w:val="36"/>
          <w:szCs w:val="36"/>
        </w:rPr>
        <w:t>4. Executive Brief</w:t>
      </w:r>
    </w:p>
    <w:p>
      <w:pPr>
        <w:pStyle w:val="Normal"/>
        <w:rPr>
          <w:rFonts w:ascii="hack" w:hAnsi="hack"/>
          <w:sz w:val="24"/>
          <w:szCs w:val="24"/>
        </w:rPr>
      </w:pPr>
      <w:r>
        <w:rPr>
          <w:rFonts w:ascii="hack" w:hAnsi="hack"/>
          <w:sz w:val="24"/>
          <w:szCs w:val="24"/>
        </w:rPr>
        <w:t>The security assessment simulated a real-world cyberattack to evaluate the organization’s ability to detect and respond to modern threats. The exercise identified weaknesses involving phishing, weak credential protection, and insufficient monitoring controls. Implementing the recommended security improvements will significantly strengthen the organization’s cyber resilience.</w:t>
      </w:r>
    </w:p>
    <w:p>
      <w:pPr>
        <w:pStyle w:val="Heading2"/>
        <w:rPr>
          <w:rFonts w:ascii="hack" w:hAnsi="hack"/>
          <w:b/>
          <w:bCs/>
          <w:sz w:val="40"/>
          <w:szCs w:val="40"/>
        </w:rPr>
      </w:pPr>
      <w:r>
        <w:rPr>
          <w:rFonts w:ascii="hack" w:hAnsi="hack"/>
          <w:b/>
          <w:bCs/>
          <w:sz w:val="40"/>
          <w:szCs w:val="40"/>
        </w:rPr>
        <w:t>5. Findings Table</w:t>
      </w:r>
    </w:p>
    <w:p>
      <w:pPr>
        <w:pStyle w:val="Normal"/>
        <w:rPr>
          <w:rFonts w:ascii="hack" w:hAnsi="hack"/>
          <w:b/>
          <w:bCs/>
          <w:sz w:val="40"/>
          <w:szCs w:val="40"/>
        </w:rPr>
      </w:pPr>
      <w:r>
        <w:rPr>
          <w:rFonts w:ascii="hack" w:hAnsi="hack"/>
          <w:b/>
          <w:bCs/>
          <w:sz w:val="40"/>
          <w:szCs w:val="40"/>
        </w:rPr>
      </w:r>
    </w:p>
    <w:tbl>
      <w:tblPr>
        <w:tblStyle w:val="TableGrid"/>
        <w:tblW w:w="8547" w:type="dxa"/>
        <w:jc w:val="left"/>
        <w:tblInd w:w="-20" w:type="dxa"/>
        <w:tblLayout w:type="fixed"/>
        <w:tblCellMar>
          <w:top w:w="0" w:type="dxa"/>
          <w:left w:w="108" w:type="dxa"/>
          <w:bottom w:w="0" w:type="dxa"/>
          <w:right w:w="108" w:type="dxa"/>
        </w:tblCellMar>
        <w:tblLook w:val="04a0" w:noHBand="0" w:noVBand="1" w:firstColumn="1" w:lastRow="0" w:lastColumn="0" w:firstRow="1"/>
      </w:tblPr>
      <w:tblGrid>
        <w:gridCol w:w="1635"/>
        <w:gridCol w:w="1725"/>
        <w:gridCol w:w="1455"/>
        <w:gridCol w:w="1245"/>
        <w:gridCol w:w="2487"/>
      </w:tblGrid>
      <w:tr>
        <w:trPr/>
        <w:tc>
          <w:tcPr>
            <w:tcW w:w="1635" w:type="dxa"/>
            <w:tcBorders/>
          </w:tcPr>
          <w:p>
            <w:pPr>
              <w:pStyle w:val="Normal"/>
              <w:widowControl/>
              <w:spacing w:lineRule="auto" w:line="240" w:before="0" w:after="0"/>
              <w:jc w:val="left"/>
              <w:rPr>
                <w:rFonts w:ascii="hack" w:hAnsi="hack" w:eastAsia="ＭＳ 明朝" w:cs=""/>
                <w:b/>
                <w:bCs/>
                <w:kern w:val="0"/>
                <w:sz w:val="24"/>
                <w:szCs w:val="24"/>
                <w:lang w:val="en-US" w:eastAsia="en-US" w:bidi="ar-SA"/>
              </w:rPr>
            </w:pPr>
            <w:r>
              <w:rPr>
                <w:rFonts w:eastAsia="ＭＳ 明朝" w:cs="" w:ascii="hack" w:hAnsi="hack"/>
                <w:b/>
                <w:bCs/>
                <w:kern w:val="0"/>
                <w:sz w:val="24"/>
                <w:szCs w:val="24"/>
                <w:lang w:val="en-US" w:eastAsia="en-US" w:bidi="ar-SA"/>
              </w:rPr>
              <w:t>Finding ID</w:t>
            </w:r>
          </w:p>
        </w:tc>
        <w:tc>
          <w:tcPr>
            <w:tcW w:w="1725" w:type="dxa"/>
            <w:tcBorders/>
          </w:tcPr>
          <w:p>
            <w:pPr>
              <w:pStyle w:val="Normal"/>
              <w:widowControl/>
              <w:spacing w:lineRule="auto" w:line="240" w:before="0" w:after="0"/>
              <w:jc w:val="left"/>
              <w:rPr>
                <w:rFonts w:ascii="hack" w:hAnsi="hack" w:eastAsia="ＭＳ 明朝" w:cs=""/>
                <w:b/>
                <w:bCs/>
                <w:kern w:val="0"/>
                <w:sz w:val="24"/>
                <w:szCs w:val="24"/>
                <w:lang w:val="en-US" w:eastAsia="en-US" w:bidi="ar-SA"/>
              </w:rPr>
            </w:pPr>
            <w:r>
              <w:rPr>
                <w:rFonts w:eastAsia="ＭＳ 明朝" w:cs="" w:ascii="hack" w:hAnsi="hack"/>
                <w:b/>
                <w:bCs/>
                <w:kern w:val="0"/>
                <w:sz w:val="24"/>
                <w:szCs w:val="24"/>
                <w:lang w:val="en-US" w:eastAsia="en-US" w:bidi="ar-SA"/>
              </w:rPr>
              <w:t>TTP</w:t>
            </w:r>
          </w:p>
        </w:tc>
        <w:tc>
          <w:tcPr>
            <w:tcW w:w="1455" w:type="dxa"/>
            <w:tcBorders/>
          </w:tcPr>
          <w:p>
            <w:pPr>
              <w:pStyle w:val="Normal"/>
              <w:widowControl/>
              <w:spacing w:lineRule="auto" w:line="240" w:before="0" w:after="0"/>
              <w:jc w:val="left"/>
              <w:rPr>
                <w:rFonts w:ascii="hack" w:hAnsi="hack" w:eastAsia="ＭＳ 明朝" w:cs=""/>
                <w:b/>
                <w:bCs/>
                <w:kern w:val="0"/>
                <w:sz w:val="24"/>
                <w:szCs w:val="24"/>
                <w:lang w:val="en-US" w:eastAsia="en-US" w:bidi="ar-SA"/>
              </w:rPr>
            </w:pPr>
            <w:r>
              <w:rPr>
                <w:rFonts w:eastAsia="ＭＳ 明朝" w:cs="" w:ascii="hack" w:hAnsi="hack"/>
                <w:b/>
                <w:bCs/>
                <w:kern w:val="0"/>
                <w:sz w:val="24"/>
                <w:szCs w:val="24"/>
                <w:lang w:val="en-US" w:eastAsia="en-US" w:bidi="ar-SA"/>
              </w:rPr>
              <w:t>CVSS Score</w:t>
            </w:r>
          </w:p>
        </w:tc>
        <w:tc>
          <w:tcPr>
            <w:tcW w:w="1245" w:type="dxa"/>
            <w:tcBorders/>
          </w:tcPr>
          <w:p>
            <w:pPr>
              <w:pStyle w:val="Normal"/>
              <w:widowControl/>
              <w:spacing w:lineRule="auto" w:line="240" w:before="0" w:after="0"/>
              <w:jc w:val="left"/>
              <w:rPr>
                <w:rFonts w:ascii="hack" w:hAnsi="hack" w:eastAsia="ＭＳ 明朝" w:cs=""/>
                <w:b/>
                <w:bCs/>
                <w:kern w:val="0"/>
                <w:sz w:val="24"/>
                <w:szCs w:val="24"/>
                <w:lang w:val="en-US" w:eastAsia="en-US" w:bidi="ar-SA"/>
              </w:rPr>
            </w:pPr>
            <w:r>
              <w:rPr>
                <w:rFonts w:eastAsia="ＭＳ 明朝" w:cs="" w:ascii="hack" w:hAnsi="hack"/>
                <w:b/>
                <w:bCs/>
                <w:kern w:val="0"/>
                <w:sz w:val="24"/>
                <w:szCs w:val="24"/>
                <w:lang w:val="en-US" w:eastAsia="en-US" w:bidi="ar-SA"/>
              </w:rPr>
              <w:t>Severity</w:t>
            </w:r>
          </w:p>
        </w:tc>
        <w:tc>
          <w:tcPr>
            <w:tcW w:w="2487" w:type="dxa"/>
            <w:tcBorders/>
          </w:tcPr>
          <w:p>
            <w:pPr>
              <w:pStyle w:val="Normal"/>
              <w:widowControl/>
              <w:spacing w:lineRule="auto" w:line="240" w:before="0" w:after="0"/>
              <w:jc w:val="left"/>
              <w:rPr>
                <w:rFonts w:ascii="hack" w:hAnsi="hack" w:eastAsia="ＭＳ 明朝" w:cs=""/>
                <w:b/>
                <w:bCs/>
                <w:kern w:val="0"/>
                <w:sz w:val="24"/>
                <w:szCs w:val="24"/>
                <w:lang w:val="en-US" w:eastAsia="en-US" w:bidi="ar-SA"/>
              </w:rPr>
            </w:pPr>
            <w:r>
              <w:rPr>
                <w:rFonts w:eastAsia="ＭＳ 明朝" w:cs="" w:ascii="hack" w:hAnsi="hack"/>
                <w:b/>
                <w:bCs/>
                <w:kern w:val="0"/>
                <w:sz w:val="24"/>
                <w:szCs w:val="24"/>
                <w:lang w:val="en-US" w:eastAsia="en-US" w:bidi="ar-SA"/>
              </w:rPr>
              <w:t>Remediation</w:t>
            </w:r>
          </w:p>
        </w:tc>
      </w:tr>
      <w:tr>
        <w:trPr/>
        <w:tc>
          <w:tcPr>
            <w:tcW w:w="1635" w:type="dxa"/>
            <w:tcBorders/>
          </w:tcPr>
          <w:p>
            <w:pPr>
              <w:pStyle w:val="Normal"/>
              <w:widowControl/>
              <w:spacing w:lineRule="auto" w:line="240" w:before="0" w:after="0"/>
              <w:jc w:val="left"/>
              <w:rPr>
                <w:rFonts w:ascii="hack" w:hAnsi="hack" w:eastAsia="ＭＳ 明朝" w:cs=""/>
                <w:kern w:val="0"/>
                <w:sz w:val="24"/>
                <w:szCs w:val="24"/>
                <w:lang w:val="en-US" w:eastAsia="en-US" w:bidi="ar-SA"/>
              </w:rPr>
            </w:pPr>
            <w:r>
              <w:rPr>
                <w:rFonts w:eastAsia="ＭＳ 明朝" w:cs="" w:ascii="hack" w:hAnsi="hack"/>
                <w:kern w:val="0"/>
                <w:sz w:val="24"/>
                <w:szCs w:val="24"/>
                <w:lang w:val="en-US" w:eastAsia="en-US" w:bidi="ar-SA"/>
              </w:rPr>
              <w:t>FID001</w:t>
            </w:r>
          </w:p>
        </w:tc>
        <w:tc>
          <w:tcPr>
            <w:tcW w:w="1725" w:type="dxa"/>
            <w:tcBorders/>
          </w:tcPr>
          <w:p>
            <w:pPr>
              <w:pStyle w:val="Normal"/>
              <w:widowControl/>
              <w:spacing w:lineRule="auto" w:line="240" w:before="0" w:after="0"/>
              <w:jc w:val="left"/>
              <w:rPr>
                <w:rFonts w:ascii="hack" w:hAnsi="hack" w:eastAsia="ＭＳ 明朝" w:cs=""/>
                <w:kern w:val="0"/>
                <w:sz w:val="24"/>
                <w:szCs w:val="24"/>
                <w:lang w:val="en-US" w:eastAsia="en-US" w:bidi="ar-SA"/>
              </w:rPr>
            </w:pPr>
            <w:r>
              <w:rPr>
                <w:rFonts w:eastAsia="ＭＳ 明朝" w:cs="" w:ascii="hack" w:hAnsi="hack"/>
                <w:kern w:val="0"/>
                <w:sz w:val="24"/>
                <w:szCs w:val="24"/>
                <w:lang w:val="en-US" w:eastAsia="en-US" w:bidi="ar-SA"/>
              </w:rPr>
              <w:t>Phishing (T1566)</w:t>
            </w:r>
          </w:p>
        </w:tc>
        <w:tc>
          <w:tcPr>
            <w:tcW w:w="1455" w:type="dxa"/>
            <w:tcBorders/>
          </w:tcPr>
          <w:p>
            <w:pPr>
              <w:pStyle w:val="Normal"/>
              <w:widowControl/>
              <w:spacing w:lineRule="auto" w:line="240" w:before="0" w:after="0"/>
              <w:jc w:val="left"/>
              <w:rPr>
                <w:rFonts w:ascii="hack" w:hAnsi="hack" w:eastAsia="ＭＳ 明朝" w:cs=""/>
                <w:kern w:val="0"/>
                <w:sz w:val="24"/>
                <w:szCs w:val="24"/>
                <w:lang w:val="en-US" w:eastAsia="en-US" w:bidi="ar-SA"/>
              </w:rPr>
            </w:pPr>
            <w:r>
              <w:rPr>
                <w:rFonts w:eastAsia="ＭＳ 明朝" w:cs="" w:ascii="hack" w:hAnsi="hack"/>
                <w:kern w:val="0"/>
                <w:sz w:val="24"/>
                <w:szCs w:val="24"/>
                <w:lang w:val="en-US" w:eastAsia="en-US" w:bidi="ar-SA"/>
              </w:rPr>
              <w:t>7.5</w:t>
            </w:r>
          </w:p>
        </w:tc>
        <w:tc>
          <w:tcPr>
            <w:tcW w:w="1245" w:type="dxa"/>
            <w:tcBorders/>
          </w:tcPr>
          <w:p>
            <w:pPr>
              <w:pStyle w:val="Normal"/>
              <w:widowControl/>
              <w:spacing w:lineRule="auto" w:line="240" w:before="0" w:after="0"/>
              <w:jc w:val="left"/>
              <w:rPr>
                <w:rFonts w:ascii="hack" w:hAnsi="hack" w:eastAsia="ＭＳ 明朝" w:cs=""/>
                <w:kern w:val="0"/>
                <w:sz w:val="24"/>
                <w:szCs w:val="24"/>
                <w:lang w:val="en-US" w:eastAsia="en-US" w:bidi="ar-SA"/>
              </w:rPr>
            </w:pPr>
            <w:r>
              <w:rPr>
                <w:rFonts w:eastAsia="ＭＳ 明朝" w:cs="" w:ascii="hack" w:hAnsi="hack"/>
                <w:kern w:val="0"/>
                <w:sz w:val="24"/>
                <w:szCs w:val="24"/>
                <w:lang w:val="en-US" w:eastAsia="en-US" w:bidi="ar-SA"/>
              </w:rPr>
              <w:t>High</w:t>
            </w:r>
          </w:p>
        </w:tc>
        <w:tc>
          <w:tcPr>
            <w:tcW w:w="2487" w:type="dxa"/>
            <w:tcBorders/>
          </w:tcPr>
          <w:p>
            <w:pPr>
              <w:pStyle w:val="Normal"/>
              <w:widowControl/>
              <w:spacing w:lineRule="auto" w:line="240" w:before="0" w:after="0"/>
              <w:jc w:val="left"/>
              <w:rPr>
                <w:rFonts w:ascii="hack" w:hAnsi="hack" w:eastAsia="ＭＳ 明朝" w:cs=""/>
                <w:kern w:val="0"/>
                <w:sz w:val="24"/>
                <w:szCs w:val="24"/>
                <w:lang w:val="en-US" w:eastAsia="en-US" w:bidi="ar-SA"/>
              </w:rPr>
            </w:pPr>
            <w:r>
              <w:rPr>
                <w:rFonts w:eastAsia="ＭＳ 明朝" w:cs="" w:ascii="hack" w:hAnsi="hack"/>
                <w:kern w:val="0"/>
                <w:sz w:val="24"/>
                <w:szCs w:val="24"/>
                <w:lang w:val="en-US" w:eastAsia="en-US" w:bidi="ar-SA"/>
              </w:rPr>
              <w:t>Enforce MFA</w:t>
            </w:r>
          </w:p>
        </w:tc>
      </w:tr>
      <w:tr>
        <w:trPr/>
        <w:tc>
          <w:tcPr>
            <w:tcW w:w="1635" w:type="dxa"/>
            <w:tcBorders/>
          </w:tcPr>
          <w:p>
            <w:pPr>
              <w:pStyle w:val="Normal"/>
              <w:widowControl/>
              <w:spacing w:lineRule="auto" w:line="240" w:before="0" w:after="0"/>
              <w:jc w:val="left"/>
              <w:rPr>
                <w:rFonts w:ascii="hack" w:hAnsi="hack" w:eastAsia="ＭＳ 明朝" w:cs=""/>
                <w:kern w:val="0"/>
                <w:sz w:val="24"/>
                <w:szCs w:val="24"/>
                <w:lang w:val="en-US" w:eastAsia="en-US" w:bidi="ar-SA"/>
              </w:rPr>
            </w:pPr>
            <w:r>
              <w:rPr>
                <w:rFonts w:eastAsia="ＭＳ 明朝" w:cs="" w:ascii="hack" w:hAnsi="hack"/>
                <w:kern w:val="0"/>
                <w:sz w:val="24"/>
                <w:szCs w:val="24"/>
                <w:lang w:val="en-US" w:eastAsia="en-US" w:bidi="ar-SA"/>
              </w:rPr>
              <w:t>FID002</w:t>
            </w:r>
          </w:p>
        </w:tc>
        <w:tc>
          <w:tcPr>
            <w:tcW w:w="1725" w:type="dxa"/>
            <w:tcBorders/>
          </w:tcPr>
          <w:p>
            <w:pPr>
              <w:pStyle w:val="Normal"/>
              <w:widowControl/>
              <w:spacing w:lineRule="auto" w:line="240" w:before="0" w:after="0"/>
              <w:jc w:val="left"/>
              <w:rPr>
                <w:rFonts w:ascii="hack" w:hAnsi="hack" w:eastAsia="ＭＳ 明朝" w:cs=""/>
                <w:kern w:val="0"/>
                <w:sz w:val="24"/>
                <w:szCs w:val="24"/>
                <w:lang w:val="en-US" w:eastAsia="en-US" w:bidi="ar-SA"/>
              </w:rPr>
            </w:pPr>
            <w:r>
              <w:rPr>
                <w:rFonts w:eastAsia="ＭＳ 明朝" w:cs="" w:ascii="hack" w:hAnsi="hack"/>
                <w:kern w:val="0"/>
                <w:sz w:val="24"/>
                <w:szCs w:val="24"/>
                <w:lang w:val="en-US" w:eastAsia="en-US" w:bidi="ar-SA"/>
              </w:rPr>
              <w:t>Credential Dumping (T1003)</w:t>
            </w:r>
          </w:p>
        </w:tc>
        <w:tc>
          <w:tcPr>
            <w:tcW w:w="1455" w:type="dxa"/>
            <w:tcBorders/>
          </w:tcPr>
          <w:p>
            <w:pPr>
              <w:pStyle w:val="Normal"/>
              <w:widowControl/>
              <w:spacing w:lineRule="auto" w:line="240" w:before="0" w:after="0"/>
              <w:jc w:val="left"/>
              <w:rPr>
                <w:rFonts w:ascii="hack" w:hAnsi="hack" w:eastAsia="ＭＳ 明朝" w:cs=""/>
                <w:kern w:val="0"/>
                <w:sz w:val="24"/>
                <w:szCs w:val="24"/>
                <w:lang w:val="en-US" w:eastAsia="en-US" w:bidi="ar-SA"/>
              </w:rPr>
            </w:pPr>
            <w:r>
              <w:rPr>
                <w:rFonts w:eastAsia="ＭＳ 明朝" w:cs="" w:ascii="hack" w:hAnsi="hack"/>
                <w:kern w:val="0"/>
                <w:sz w:val="24"/>
                <w:szCs w:val="24"/>
                <w:lang w:val="en-US" w:eastAsia="en-US" w:bidi="ar-SA"/>
              </w:rPr>
              <w:t>8.1</w:t>
            </w:r>
          </w:p>
        </w:tc>
        <w:tc>
          <w:tcPr>
            <w:tcW w:w="1245" w:type="dxa"/>
            <w:tcBorders/>
          </w:tcPr>
          <w:p>
            <w:pPr>
              <w:pStyle w:val="Normal"/>
              <w:widowControl/>
              <w:spacing w:lineRule="auto" w:line="240" w:before="0" w:after="0"/>
              <w:jc w:val="left"/>
              <w:rPr>
                <w:rFonts w:ascii="hack" w:hAnsi="hack" w:eastAsia="ＭＳ 明朝" w:cs=""/>
                <w:kern w:val="0"/>
                <w:sz w:val="24"/>
                <w:szCs w:val="24"/>
                <w:lang w:val="en-US" w:eastAsia="en-US" w:bidi="ar-SA"/>
              </w:rPr>
            </w:pPr>
            <w:r>
              <w:rPr>
                <w:rFonts w:eastAsia="ＭＳ 明朝" w:cs="" w:ascii="hack" w:hAnsi="hack"/>
                <w:kern w:val="0"/>
                <w:sz w:val="24"/>
                <w:szCs w:val="24"/>
                <w:lang w:val="en-US" w:eastAsia="en-US" w:bidi="ar-SA"/>
              </w:rPr>
              <w:t>High</w:t>
            </w:r>
          </w:p>
        </w:tc>
        <w:tc>
          <w:tcPr>
            <w:tcW w:w="2487" w:type="dxa"/>
            <w:tcBorders/>
          </w:tcPr>
          <w:p>
            <w:pPr>
              <w:pStyle w:val="Normal"/>
              <w:widowControl/>
              <w:spacing w:lineRule="auto" w:line="240" w:before="0" w:after="0"/>
              <w:jc w:val="left"/>
              <w:rPr>
                <w:rFonts w:ascii="hack" w:hAnsi="hack" w:eastAsia="ＭＳ 明朝" w:cs=""/>
                <w:kern w:val="0"/>
                <w:sz w:val="24"/>
                <w:szCs w:val="24"/>
                <w:lang w:val="en-US" w:eastAsia="en-US" w:bidi="ar-SA"/>
              </w:rPr>
            </w:pPr>
            <w:r>
              <w:rPr>
                <w:rFonts w:eastAsia="ＭＳ 明朝" w:cs="" w:ascii="hack" w:hAnsi="hack"/>
                <w:kern w:val="0"/>
                <w:sz w:val="24"/>
                <w:szCs w:val="24"/>
                <w:lang w:val="en-US" w:eastAsia="en-US" w:bidi="ar-SA"/>
              </w:rPr>
              <w:t>Enable EDR Monitoring</w:t>
            </w:r>
          </w:p>
        </w:tc>
      </w:tr>
      <w:tr>
        <w:trPr/>
        <w:tc>
          <w:tcPr>
            <w:tcW w:w="1635" w:type="dxa"/>
            <w:tcBorders/>
          </w:tcPr>
          <w:p>
            <w:pPr>
              <w:pStyle w:val="Normal"/>
              <w:widowControl/>
              <w:spacing w:lineRule="auto" w:line="240" w:before="0" w:after="0"/>
              <w:jc w:val="left"/>
              <w:rPr>
                <w:rFonts w:ascii="hack" w:hAnsi="hack" w:eastAsia="ＭＳ 明朝" w:cs=""/>
                <w:kern w:val="0"/>
                <w:sz w:val="24"/>
                <w:szCs w:val="24"/>
                <w:lang w:val="en-US" w:eastAsia="en-US" w:bidi="ar-SA"/>
              </w:rPr>
            </w:pPr>
            <w:r>
              <w:rPr>
                <w:rFonts w:eastAsia="ＭＳ 明朝" w:cs="" w:ascii="hack" w:hAnsi="hack"/>
                <w:kern w:val="0"/>
                <w:sz w:val="24"/>
                <w:szCs w:val="24"/>
                <w:lang w:val="en-US" w:eastAsia="en-US" w:bidi="ar-SA"/>
              </w:rPr>
              <w:t>FID003</w:t>
            </w:r>
          </w:p>
        </w:tc>
        <w:tc>
          <w:tcPr>
            <w:tcW w:w="1725" w:type="dxa"/>
            <w:tcBorders/>
          </w:tcPr>
          <w:p>
            <w:pPr>
              <w:pStyle w:val="Normal"/>
              <w:widowControl/>
              <w:spacing w:lineRule="auto" w:line="240" w:before="0" w:after="0"/>
              <w:jc w:val="left"/>
              <w:rPr>
                <w:rFonts w:ascii="hack" w:hAnsi="hack" w:eastAsia="ＭＳ 明朝" w:cs=""/>
                <w:kern w:val="0"/>
                <w:sz w:val="24"/>
                <w:szCs w:val="24"/>
                <w:lang w:val="en-US" w:eastAsia="en-US" w:bidi="ar-SA"/>
              </w:rPr>
            </w:pPr>
            <w:r>
              <w:rPr>
                <w:rFonts w:eastAsia="ＭＳ 明朝" w:cs="" w:ascii="hack" w:hAnsi="hack"/>
                <w:kern w:val="0"/>
                <w:sz w:val="24"/>
                <w:szCs w:val="24"/>
                <w:lang w:val="en-US" w:eastAsia="en-US" w:bidi="ar-SA"/>
              </w:rPr>
              <w:t>Scheduled Task Persistence (T1053)</w:t>
            </w:r>
          </w:p>
        </w:tc>
        <w:tc>
          <w:tcPr>
            <w:tcW w:w="1455" w:type="dxa"/>
            <w:tcBorders/>
          </w:tcPr>
          <w:p>
            <w:pPr>
              <w:pStyle w:val="Normal"/>
              <w:widowControl/>
              <w:spacing w:lineRule="auto" w:line="240" w:before="0" w:after="0"/>
              <w:jc w:val="left"/>
              <w:rPr>
                <w:rFonts w:ascii="hack" w:hAnsi="hack" w:eastAsia="ＭＳ 明朝" w:cs=""/>
                <w:kern w:val="0"/>
                <w:sz w:val="24"/>
                <w:szCs w:val="24"/>
                <w:lang w:val="en-US" w:eastAsia="en-US" w:bidi="ar-SA"/>
              </w:rPr>
            </w:pPr>
            <w:r>
              <w:rPr>
                <w:rFonts w:eastAsia="ＭＳ 明朝" w:cs="" w:ascii="hack" w:hAnsi="hack"/>
                <w:kern w:val="0"/>
                <w:sz w:val="24"/>
                <w:szCs w:val="24"/>
                <w:lang w:val="en-US" w:eastAsia="en-US" w:bidi="ar-SA"/>
              </w:rPr>
              <w:t>6.8</w:t>
            </w:r>
          </w:p>
        </w:tc>
        <w:tc>
          <w:tcPr>
            <w:tcW w:w="1245" w:type="dxa"/>
            <w:tcBorders/>
          </w:tcPr>
          <w:p>
            <w:pPr>
              <w:pStyle w:val="Normal"/>
              <w:widowControl/>
              <w:spacing w:lineRule="auto" w:line="240" w:before="0" w:after="0"/>
              <w:jc w:val="left"/>
              <w:rPr>
                <w:rFonts w:ascii="hack" w:hAnsi="hack" w:eastAsia="ＭＳ 明朝" w:cs=""/>
                <w:kern w:val="0"/>
                <w:sz w:val="24"/>
                <w:szCs w:val="24"/>
                <w:lang w:val="en-US" w:eastAsia="en-US" w:bidi="ar-SA"/>
              </w:rPr>
            </w:pPr>
            <w:r>
              <w:rPr>
                <w:rFonts w:eastAsia="ＭＳ 明朝" w:cs="" w:ascii="hack" w:hAnsi="hack"/>
                <w:kern w:val="0"/>
                <w:sz w:val="24"/>
                <w:szCs w:val="24"/>
                <w:lang w:val="en-US" w:eastAsia="en-US" w:bidi="ar-SA"/>
              </w:rPr>
              <w:t>Medium</w:t>
            </w:r>
          </w:p>
        </w:tc>
        <w:tc>
          <w:tcPr>
            <w:tcW w:w="2487" w:type="dxa"/>
            <w:tcBorders/>
          </w:tcPr>
          <w:p>
            <w:pPr>
              <w:pStyle w:val="Normal"/>
              <w:widowControl/>
              <w:spacing w:lineRule="auto" w:line="240" w:before="0" w:after="0"/>
              <w:jc w:val="left"/>
              <w:rPr>
                <w:rFonts w:ascii="hack" w:hAnsi="hack" w:eastAsia="ＭＳ 明朝" w:cs=""/>
                <w:kern w:val="0"/>
                <w:sz w:val="24"/>
                <w:szCs w:val="24"/>
                <w:lang w:val="en-US" w:eastAsia="en-US" w:bidi="ar-SA"/>
              </w:rPr>
            </w:pPr>
            <w:r>
              <w:rPr>
                <w:rFonts w:eastAsia="ＭＳ 明朝" w:cs="" w:ascii="hack" w:hAnsi="hack"/>
                <w:kern w:val="0"/>
                <w:sz w:val="24"/>
                <w:szCs w:val="24"/>
                <w:lang w:val="en-US" w:eastAsia="en-US" w:bidi="ar-SA"/>
              </w:rPr>
              <w:t>Audit Scheduled Tasks</w:t>
            </w:r>
          </w:p>
        </w:tc>
      </w:tr>
      <w:tr>
        <w:trPr/>
        <w:tc>
          <w:tcPr>
            <w:tcW w:w="1635" w:type="dxa"/>
            <w:tcBorders/>
          </w:tcPr>
          <w:p>
            <w:pPr>
              <w:pStyle w:val="Normal"/>
              <w:widowControl/>
              <w:spacing w:lineRule="auto" w:line="240" w:before="0" w:after="0"/>
              <w:jc w:val="left"/>
              <w:rPr>
                <w:rFonts w:ascii="hack" w:hAnsi="hack" w:eastAsia="ＭＳ 明朝" w:cs=""/>
                <w:kern w:val="0"/>
                <w:sz w:val="24"/>
                <w:szCs w:val="24"/>
                <w:lang w:val="en-US" w:eastAsia="en-US" w:bidi="ar-SA"/>
              </w:rPr>
            </w:pPr>
            <w:r>
              <w:rPr>
                <w:rFonts w:eastAsia="ＭＳ 明朝" w:cs="" w:ascii="hack" w:hAnsi="hack"/>
                <w:kern w:val="0"/>
                <w:sz w:val="24"/>
                <w:szCs w:val="24"/>
                <w:lang w:val="en-US" w:eastAsia="en-US" w:bidi="ar-SA"/>
              </w:rPr>
              <w:t>FID004</w:t>
            </w:r>
          </w:p>
        </w:tc>
        <w:tc>
          <w:tcPr>
            <w:tcW w:w="1725" w:type="dxa"/>
            <w:tcBorders/>
          </w:tcPr>
          <w:p>
            <w:pPr>
              <w:pStyle w:val="Normal"/>
              <w:widowControl/>
              <w:spacing w:lineRule="auto" w:line="240" w:before="0" w:after="0"/>
              <w:jc w:val="left"/>
              <w:rPr>
                <w:rFonts w:ascii="hack" w:hAnsi="hack" w:eastAsia="ＭＳ 明朝" w:cs=""/>
                <w:kern w:val="0"/>
                <w:sz w:val="24"/>
                <w:szCs w:val="24"/>
                <w:lang w:val="en-US" w:eastAsia="en-US" w:bidi="ar-SA"/>
              </w:rPr>
            </w:pPr>
            <w:r>
              <w:rPr>
                <w:rFonts w:eastAsia="ＭＳ 明朝" w:cs="" w:ascii="hack" w:hAnsi="hack"/>
                <w:kern w:val="0"/>
                <w:sz w:val="24"/>
                <w:szCs w:val="24"/>
                <w:lang w:val="en-US" w:eastAsia="en-US" w:bidi="ar-SA"/>
              </w:rPr>
              <w:t>Remote Service Abuse (T1021)</w:t>
            </w:r>
          </w:p>
        </w:tc>
        <w:tc>
          <w:tcPr>
            <w:tcW w:w="1455" w:type="dxa"/>
            <w:tcBorders/>
          </w:tcPr>
          <w:p>
            <w:pPr>
              <w:pStyle w:val="Normal"/>
              <w:widowControl/>
              <w:spacing w:lineRule="auto" w:line="240" w:before="0" w:after="0"/>
              <w:jc w:val="left"/>
              <w:rPr>
                <w:rFonts w:ascii="hack" w:hAnsi="hack" w:eastAsia="ＭＳ 明朝" w:cs=""/>
                <w:kern w:val="0"/>
                <w:sz w:val="24"/>
                <w:szCs w:val="24"/>
                <w:lang w:val="en-US" w:eastAsia="en-US" w:bidi="ar-SA"/>
              </w:rPr>
            </w:pPr>
            <w:r>
              <w:rPr>
                <w:rFonts w:eastAsia="ＭＳ 明朝" w:cs="" w:ascii="hack" w:hAnsi="hack"/>
                <w:kern w:val="0"/>
                <w:sz w:val="24"/>
                <w:szCs w:val="24"/>
                <w:lang w:val="en-US" w:eastAsia="en-US" w:bidi="ar-SA"/>
              </w:rPr>
              <w:t>7.2</w:t>
            </w:r>
          </w:p>
        </w:tc>
        <w:tc>
          <w:tcPr>
            <w:tcW w:w="1245" w:type="dxa"/>
            <w:tcBorders/>
          </w:tcPr>
          <w:p>
            <w:pPr>
              <w:pStyle w:val="Normal"/>
              <w:widowControl/>
              <w:spacing w:lineRule="auto" w:line="240" w:before="0" w:after="0"/>
              <w:jc w:val="left"/>
              <w:rPr>
                <w:rFonts w:ascii="hack" w:hAnsi="hack" w:eastAsia="ＭＳ 明朝" w:cs=""/>
                <w:kern w:val="0"/>
                <w:sz w:val="24"/>
                <w:szCs w:val="24"/>
                <w:lang w:val="en-US" w:eastAsia="en-US" w:bidi="ar-SA"/>
              </w:rPr>
            </w:pPr>
            <w:r>
              <w:rPr>
                <w:rFonts w:eastAsia="ＭＳ 明朝" w:cs="" w:ascii="hack" w:hAnsi="hack"/>
                <w:kern w:val="0"/>
                <w:sz w:val="24"/>
                <w:szCs w:val="24"/>
                <w:lang w:val="en-US" w:eastAsia="en-US" w:bidi="ar-SA"/>
              </w:rPr>
              <w:t>High</w:t>
            </w:r>
          </w:p>
        </w:tc>
        <w:tc>
          <w:tcPr>
            <w:tcW w:w="2487" w:type="dxa"/>
            <w:tcBorders/>
          </w:tcPr>
          <w:p>
            <w:pPr>
              <w:pStyle w:val="Normal"/>
              <w:widowControl/>
              <w:spacing w:lineRule="auto" w:line="240" w:before="0" w:after="0"/>
              <w:jc w:val="left"/>
              <w:rPr>
                <w:rFonts w:ascii="hack" w:hAnsi="hack" w:eastAsia="ＭＳ 明朝" w:cs=""/>
                <w:kern w:val="0"/>
                <w:sz w:val="24"/>
                <w:szCs w:val="24"/>
                <w:lang w:val="en-US" w:eastAsia="en-US" w:bidi="ar-SA"/>
              </w:rPr>
            </w:pPr>
            <w:r>
              <w:rPr>
                <w:rFonts w:eastAsia="ＭＳ 明朝" w:cs="" w:ascii="hack" w:hAnsi="hack"/>
                <w:kern w:val="0"/>
                <w:sz w:val="24"/>
                <w:szCs w:val="24"/>
                <w:lang w:val="en-US" w:eastAsia="en-US" w:bidi="ar-SA"/>
              </w:rPr>
              <w:t>Implement Segmentation</w:t>
            </w:r>
          </w:p>
        </w:tc>
      </w:tr>
      <w:tr>
        <w:trPr/>
        <w:tc>
          <w:tcPr>
            <w:tcW w:w="1635" w:type="dxa"/>
            <w:tcBorders/>
          </w:tcPr>
          <w:p>
            <w:pPr>
              <w:pStyle w:val="Normal"/>
              <w:widowControl/>
              <w:spacing w:lineRule="auto" w:line="240" w:before="0" w:after="0"/>
              <w:jc w:val="left"/>
              <w:rPr>
                <w:rFonts w:ascii="hack" w:hAnsi="hack" w:eastAsia="ＭＳ 明朝" w:cs=""/>
                <w:kern w:val="0"/>
                <w:sz w:val="24"/>
                <w:szCs w:val="24"/>
                <w:lang w:val="en-US" w:eastAsia="en-US" w:bidi="ar-SA"/>
              </w:rPr>
            </w:pPr>
            <w:r>
              <w:rPr>
                <w:rFonts w:eastAsia="ＭＳ 明朝" w:cs="" w:ascii="hack" w:hAnsi="hack"/>
                <w:kern w:val="0"/>
                <w:sz w:val="24"/>
                <w:szCs w:val="24"/>
                <w:lang w:val="en-US" w:eastAsia="en-US" w:bidi="ar-SA"/>
              </w:rPr>
              <w:t>FID005</w:t>
            </w:r>
          </w:p>
        </w:tc>
        <w:tc>
          <w:tcPr>
            <w:tcW w:w="1725" w:type="dxa"/>
            <w:tcBorders/>
          </w:tcPr>
          <w:p>
            <w:pPr>
              <w:pStyle w:val="Normal"/>
              <w:widowControl/>
              <w:spacing w:lineRule="auto" w:line="240" w:before="0" w:after="0"/>
              <w:jc w:val="left"/>
              <w:rPr>
                <w:rFonts w:ascii="hack" w:hAnsi="hack" w:eastAsia="ＭＳ 明朝" w:cs=""/>
                <w:kern w:val="0"/>
                <w:sz w:val="24"/>
                <w:szCs w:val="24"/>
                <w:lang w:val="en-US" w:eastAsia="en-US" w:bidi="ar-SA"/>
              </w:rPr>
            </w:pPr>
            <w:r>
              <w:rPr>
                <w:rFonts w:eastAsia="ＭＳ 明朝" w:cs="" w:ascii="hack" w:hAnsi="hack"/>
                <w:kern w:val="0"/>
                <w:sz w:val="24"/>
                <w:szCs w:val="24"/>
                <w:lang w:val="en-US" w:eastAsia="en-US" w:bidi="ar-SA"/>
              </w:rPr>
              <w:t>PowerShell Execution (T1059.001)</w:t>
            </w:r>
          </w:p>
        </w:tc>
        <w:tc>
          <w:tcPr>
            <w:tcW w:w="1455" w:type="dxa"/>
            <w:tcBorders/>
          </w:tcPr>
          <w:p>
            <w:pPr>
              <w:pStyle w:val="Normal"/>
              <w:widowControl/>
              <w:spacing w:lineRule="auto" w:line="240" w:before="0" w:after="0"/>
              <w:jc w:val="left"/>
              <w:rPr>
                <w:rFonts w:ascii="hack" w:hAnsi="hack" w:eastAsia="ＭＳ 明朝" w:cs=""/>
                <w:kern w:val="0"/>
                <w:sz w:val="24"/>
                <w:szCs w:val="24"/>
                <w:lang w:val="en-US" w:eastAsia="en-US" w:bidi="ar-SA"/>
              </w:rPr>
            </w:pPr>
            <w:r>
              <w:rPr>
                <w:rFonts w:eastAsia="ＭＳ 明朝" w:cs="" w:ascii="hack" w:hAnsi="hack"/>
                <w:kern w:val="0"/>
                <w:sz w:val="24"/>
                <w:szCs w:val="24"/>
                <w:lang w:val="en-US" w:eastAsia="en-US" w:bidi="ar-SA"/>
              </w:rPr>
              <w:t>6.5</w:t>
            </w:r>
          </w:p>
        </w:tc>
        <w:tc>
          <w:tcPr>
            <w:tcW w:w="1245" w:type="dxa"/>
            <w:tcBorders/>
          </w:tcPr>
          <w:p>
            <w:pPr>
              <w:pStyle w:val="Normal"/>
              <w:widowControl/>
              <w:spacing w:lineRule="auto" w:line="240" w:before="0" w:after="0"/>
              <w:jc w:val="left"/>
              <w:rPr>
                <w:rFonts w:ascii="hack" w:hAnsi="hack" w:eastAsia="ＭＳ 明朝" w:cs=""/>
                <w:kern w:val="0"/>
                <w:sz w:val="24"/>
                <w:szCs w:val="24"/>
                <w:lang w:val="en-US" w:eastAsia="en-US" w:bidi="ar-SA"/>
              </w:rPr>
            </w:pPr>
            <w:r>
              <w:rPr>
                <w:rFonts w:eastAsia="ＭＳ 明朝" w:cs="" w:ascii="hack" w:hAnsi="hack"/>
                <w:kern w:val="0"/>
                <w:sz w:val="24"/>
                <w:szCs w:val="24"/>
                <w:lang w:val="en-US" w:eastAsia="en-US" w:bidi="ar-SA"/>
              </w:rPr>
              <w:t>Medium</w:t>
            </w:r>
          </w:p>
        </w:tc>
        <w:tc>
          <w:tcPr>
            <w:tcW w:w="2487" w:type="dxa"/>
            <w:tcBorders/>
          </w:tcPr>
          <w:p>
            <w:pPr>
              <w:pStyle w:val="Normal"/>
              <w:widowControl/>
              <w:spacing w:lineRule="auto" w:line="240" w:before="0" w:after="0"/>
              <w:jc w:val="left"/>
              <w:rPr>
                <w:rFonts w:ascii="hack" w:hAnsi="hack" w:eastAsia="ＭＳ 明朝" w:cs=""/>
                <w:kern w:val="0"/>
                <w:sz w:val="24"/>
                <w:szCs w:val="24"/>
                <w:lang w:val="en-US" w:eastAsia="en-US" w:bidi="ar-SA"/>
              </w:rPr>
            </w:pPr>
            <w:r>
              <w:rPr>
                <w:rFonts w:eastAsia="ＭＳ 明朝" w:cs="" w:ascii="hack" w:hAnsi="hack"/>
                <w:kern w:val="0"/>
                <w:sz w:val="24"/>
                <w:szCs w:val="24"/>
                <w:lang w:val="en-US" w:eastAsia="en-US" w:bidi="ar-SA"/>
              </w:rPr>
              <w:t>Enable Script Logging</w:t>
            </w:r>
          </w:p>
        </w:tc>
      </w:tr>
    </w:tbl>
    <w:p>
      <w:pPr>
        <w:pStyle w:val="Heading2"/>
        <w:rPr>
          <w:rFonts w:ascii="hack" w:hAnsi="hack"/>
          <w:sz w:val="24"/>
          <w:szCs w:val="24"/>
        </w:rPr>
      </w:pPr>
      <w:r>
        <w:rPr>
          <w:rFonts w:ascii="hack" w:hAnsi="hack"/>
          <w:sz w:val="24"/>
          <w:szCs w:val="24"/>
        </w:rPr>
      </w:r>
    </w:p>
    <w:p>
      <w:pPr>
        <w:pStyle w:val="HorizontalLine"/>
        <w:rPr/>
      </w:pPr>
      <w:r>
        <w:rPr/>
      </w:r>
    </w:p>
    <w:p>
      <w:pPr>
        <w:pStyle w:val="Heading2"/>
        <w:rPr>
          <w:rFonts w:ascii="hack" w:hAnsi="hack"/>
          <w:b/>
          <w:bCs/>
          <w:sz w:val="36"/>
          <w:szCs w:val="36"/>
        </w:rPr>
      </w:pPr>
      <w:r>
        <w:rPr>
          <w:rFonts w:ascii="hack" w:hAnsi="hack"/>
          <w:b/>
          <w:bCs/>
          <w:sz w:val="36"/>
          <w:szCs w:val="36"/>
        </w:rPr>
        <w:t>6. Detailed Findings</w:t>
      </w:r>
    </w:p>
    <w:p>
      <w:pPr>
        <w:pStyle w:val="Heading3"/>
        <w:rPr>
          <w:rFonts w:ascii="hack" w:hAnsi="hack"/>
          <w:b/>
          <w:bCs/>
          <w:color w:val="000000"/>
          <w:sz w:val="28"/>
          <w:szCs w:val="28"/>
        </w:rPr>
      </w:pPr>
      <w:r>
        <w:rPr>
          <w:rFonts w:ascii="hack" w:hAnsi="hack"/>
          <w:b/>
          <w:bCs/>
          <w:color w:val="000000"/>
          <w:sz w:val="28"/>
          <w:szCs w:val="28"/>
        </w:rPr>
        <w:t>FID001 — Phishing Attack</w:t>
      </w:r>
    </w:p>
    <w:p>
      <w:pPr>
        <w:pStyle w:val="Normal"/>
        <w:rPr>
          <w:rFonts w:ascii="hack" w:hAnsi="hack"/>
          <w:sz w:val="24"/>
          <w:szCs w:val="24"/>
        </w:rPr>
      </w:pPr>
      <w:r>
        <w:rPr>
          <w:rFonts w:ascii="hack" w:hAnsi="hack"/>
          <w:sz w:val="24"/>
          <w:szCs w:val="24"/>
        </w:rPr>
        <w:t>Description: Users were susceptible to phishing-based credential theft.</w:t>
      </w:r>
    </w:p>
    <w:p>
      <w:pPr>
        <w:pStyle w:val="Normal"/>
        <w:rPr>
          <w:rFonts w:ascii="hack" w:hAnsi="hack"/>
          <w:sz w:val="24"/>
          <w:szCs w:val="24"/>
        </w:rPr>
      </w:pPr>
      <w:r>
        <w:rPr>
          <w:rFonts w:ascii="hack" w:hAnsi="hack"/>
          <w:sz w:val="24"/>
          <w:szCs w:val="24"/>
        </w:rPr>
        <w:t>Recommendation: Enforce MFA and conduct phishing awareness training.</w:t>
      </w:r>
    </w:p>
    <w:p>
      <w:pPr>
        <w:pStyle w:val="Heading3"/>
        <w:rPr>
          <w:rFonts w:ascii="hack" w:hAnsi="hack"/>
          <w:b/>
          <w:bCs/>
          <w:color w:val="000000"/>
          <w:sz w:val="28"/>
          <w:szCs w:val="28"/>
        </w:rPr>
      </w:pPr>
      <w:r>
        <w:rPr>
          <w:rFonts w:ascii="hack" w:hAnsi="hack"/>
          <w:b/>
          <w:bCs/>
          <w:color w:val="000000"/>
          <w:sz w:val="28"/>
          <w:szCs w:val="28"/>
        </w:rPr>
        <w:t>FID002 — Credential Dumping</w:t>
      </w:r>
    </w:p>
    <w:p>
      <w:pPr>
        <w:pStyle w:val="Normal"/>
        <w:rPr>
          <w:rFonts w:ascii="hack" w:hAnsi="hack"/>
          <w:sz w:val="24"/>
          <w:szCs w:val="24"/>
        </w:rPr>
      </w:pPr>
      <w:r>
        <w:rPr>
          <w:rFonts w:ascii="hack" w:hAnsi="hack"/>
          <w:sz w:val="24"/>
          <w:szCs w:val="24"/>
        </w:rPr>
        <w:t>Description: Credential dumping techniques extracted password hashes.</w:t>
      </w:r>
    </w:p>
    <w:p>
      <w:pPr>
        <w:pStyle w:val="Normal"/>
        <w:rPr>
          <w:rFonts w:ascii="hack" w:hAnsi="hack"/>
          <w:sz w:val="24"/>
          <w:szCs w:val="24"/>
        </w:rPr>
      </w:pPr>
      <w:r>
        <w:rPr>
          <w:rFonts w:ascii="hack" w:hAnsi="hack"/>
          <w:sz w:val="24"/>
          <w:szCs w:val="24"/>
        </w:rPr>
        <w:t>Recommendation: Enable LSASS protection and deploy EDR solutions.</w:t>
      </w:r>
    </w:p>
    <w:p>
      <w:pPr>
        <w:pStyle w:val="Heading3"/>
        <w:rPr>
          <w:rFonts w:ascii="hack" w:hAnsi="hack"/>
          <w:b/>
          <w:bCs/>
          <w:color w:val="000000"/>
          <w:sz w:val="28"/>
          <w:szCs w:val="28"/>
        </w:rPr>
      </w:pPr>
      <w:r>
        <w:rPr>
          <w:rFonts w:ascii="hack" w:hAnsi="hack"/>
          <w:b/>
          <w:bCs/>
          <w:color w:val="000000"/>
          <w:sz w:val="28"/>
          <w:szCs w:val="28"/>
        </w:rPr>
        <w:t>FID003 — Scheduled Task Persistence</w:t>
      </w:r>
    </w:p>
    <w:p>
      <w:pPr>
        <w:pStyle w:val="Normal"/>
        <w:rPr>
          <w:rFonts w:ascii="hack" w:hAnsi="hack"/>
          <w:sz w:val="24"/>
          <w:szCs w:val="24"/>
        </w:rPr>
      </w:pPr>
      <w:r>
        <w:rPr>
          <w:rFonts w:ascii="hack" w:hAnsi="hack"/>
          <w:sz w:val="24"/>
          <w:szCs w:val="24"/>
        </w:rPr>
        <w:t>Description: Persistence was achieved using scheduled tasks.</w:t>
      </w:r>
    </w:p>
    <w:p>
      <w:pPr>
        <w:pStyle w:val="Normal"/>
        <w:rPr>
          <w:rFonts w:ascii="hack" w:hAnsi="hack"/>
          <w:sz w:val="24"/>
          <w:szCs w:val="24"/>
        </w:rPr>
      </w:pPr>
      <w:r>
        <w:rPr>
          <w:rFonts w:ascii="hack" w:hAnsi="hack"/>
          <w:sz w:val="24"/>
          <w:szCs w:val="24"/>
        </w:rPr>
        <w:t>Recommendation: Audit scheduled tasks and restrict permissions.</w:t>
      </w:r>
    </w:p>
    <w:p>
      <w:pPr>
        <w:pStyle w:val="Heading3"/>
        <w:rPr>
          <w:rFonts w:ascii="hack" w:hAnsi="hack"/>
          <w:b/>
          <w:bCs/>
          <w:color w:val="000000"/>
          <w:sz w:val="28"/>
          <w:szCs w:val="28"/>
        </w:rPr>
      </w:pPr>
      <w:r>
        <w:rPr>
          <w:rFonts w:ascii="hack" w:hAnsi="hack"/>
          <w:b/>
          <w:bCs/>
          <w:color w:val="000000"/>
          <w:sz w:val="28"/>
          <w:szCs w:val="28"/>
        </w:rPr>
        <w:t>FID004 — Remote Service Abuse</w:t>
      </w:r>
    </w:p>
    <w:p>
      <w:pPr>
        <w:pStyle w:val="Normal"/>
        <w:rPr>
          <w:rFonts w:ascii="hack" w:hAnsi="hack"/>
          <w:sz w:val="24"/>
          <w:szCs w:val="24"/>
        </w:rPr>
      </w:pPr>
      <w:r>
        <w:rPr>
          <w:rFonts w:ascii="hack" w:hAnsi="hack"/>
          <w:sz w:val="24"/>
          <w:szCs w:val="24"/>
        </w:rPr>
        <w:t>Description: Remote protocols were abused for lateral movement.</w:t>
      </w:r>
    </w:p>
    <w:p>
      <w:pPr>
        <w:pStyle w:val="Normal"/>
        <w:rPr>
          <w:rFonts w:ascii="hack" w:hAnsi="hack"/>
          <w:sz w:val="24"/>
          <w:szCs w:val="24"/>
        </w:rPr>
      </w:pPr>
      <w:r>
        <w:rPr>
          <w:rFonts w:ascii="hack" w:hAnsi="hack"/>
          <w:sz w:val="24"/>
          <w:szCs w:val="24"/>
        </w:rPr>
        <w:t>Recommendation: Restrict remote administration and segment networks.</w:t>
      </w:r>
    </w:p>
    <w:p>
      <w:pPr>
        <w:pStyle w:val="Heading3"/>
        <w:rPr>
          <w:rFonts w:ascii="hack" w:hAnsi="hack"/>
          <w:b/>
          <w:bCs/>
          <w:color w:val="000000"/>
          <w:sz w:val="28"/>
          <w:szCs w:val="28"/>
        </w:rPr>
      </w:pPr>
      <w:r>
        <w:rPr>
          <w:rFonts w:ascii="hack" w:hAnsi="hack"/>
          <w:b/>
          <w:bCs/>
          <w:color w:val="000000"/>
          <w:sz w:val="28"/>
          <w:szCs w:val="28"/>
        </w:rPr>
        <w:t>FID005 — PowerShell Execution</w:t>
      </w:r>
    </w:p>
    <w:p>
      <w:pPr>
        <w:pStyle w:val="Normal"/>
        <w:rPr>
          <w:rFonts w:ascii="hack" w:hAnsi="hack"/>
          <w:sz w:val="24"/>
          <w:szCs w:val="24"/>
        </w:rPr>
      </w:pPr>
      <w:r>
        <w:rPr>
          <w:rFonts w:ascii="hack" w:hAnsi="hack"/>
          <w:sz w:val="24"/>
          <w:szCs w:val="24"/>
        </w:rPr>
        <w:t>Description: PowerShell was used for post-exploitation activities.</w:t>
      </w:r>
    </w:p>
    <w:p>
      <w:pPr>
        <w:pStyle w:val="Normal"/>
        <w:rPr>
          <w:rFonts w:ascii="hack" w:hAnsi="hack"/>
          <w:sz w:val="24"/>
          <w:szCs w:val="24"/>
        </w:rPr>
      </w:pPr>
      <w:r>
        <w:rPr>
          <w:rFonts w:ascii="hack" w:hAnsi="hack"/>
          <w:sz w:val="24"/>
          <w:szCs w:val="24"/>
        </w:rPr>
        <w:t>Recommendation: Enable PowerShell logging and restrict scripts.</w:t>
      </w:r>
    </w:p>
    <w:p>
      <w:pPr>
        <w:pStyle w:val="Normal"/>
        <w:rPr>
          <w:rFonts w:ascii="hack" w:hAnsi="hack"/>
          <w:sz w:val="24"/>
          <w:szCs w:val="24"/>
        </w:rPr>
      </w:pPr>
      <w:r>
        <w:rPr>
          <w:rFonts w:ascii="hack" w:hAnsi="hack"/>
          <w:sz w:val="24"/>
          <w:szCs w:val="24"/>
        </w:rPr>
      </w:r>
    </w:p>
    <w:p>
      <w:pPr>
        <w:pStyle w:val="HorizontalLine"/>
        <w:rPr/>
      </w:pPr>
      <w:r>
        <w:rPr/>
      </w:r>
    </w:p>
    <w:p>
      <w:pPr>
        <w:pStyle w:val="Heading2"/>
        <w:rPr>
          <w:rFonts w:ascii="hack" w:hAnsi="hack"/>
          <w:b/>
          <w:bCs/>
          <w:sz w:val="36"/>
          <w:szCs w:val="36"/>
        </w:rPr>
      </w:pPr>
      <w:r>
        <w:rPr>
          <w:rFonts w:ascii="hack" w:hAnsi="hack"/>
          <w:b/>
          <w:bCs/>
          <w:sz w:val="36"/>
          <w:szCs w:val="36"/>
        </w:rPr>
        <w:t>7. Attack Path Diagram</w:t>
      </w:r>
    </w:p>
    <w:p>
      <w:pPr>
        <w:pStyle w:val="Normal"/>
        <w:rPr>
          <w:rFonts w:ascii="hack" w:hAnsi="hack"/>
          <w:sz w:val="24"/>
          <w:szCs w:val="24"/>
        </w:rPr>
      </w:pPr>
      <w:r>
        <w:rPr>
          <w:rFonts w:ascii="hack" w:hAnsi="hack"/>
          <w:sz w:val="24"/>
          <w:szCs w:val="24"/>
        </w:rPr>
        <w:t>The following diagram illustrates the simulated attack flow from initial phishing to critical system access.</w:t>
      </w:r>
    </w:p>
    <w:p>
      <w:pPr>
        <w:pStyle w:val="Normal"/>
        <w:rPr>
          <w:rFonts w:ascii="hack" w:hAnsi="hack"/>
          <w:sz w:val="24"/>
          <w:szCs w:val="24"/>
        </w:rPr>
      </w:pPr>
      <w:r>
        <w:rPr>
          <w:rFonts w:ascii="hack" w:hAnsi="hack"/>
          <w:sz w:val="24"/>
          <w:szCs w:val="24"/>
        </w:rPr>
      </w:r>
    </w:p>
    <w:p>
      <w:pPr>
        <w:pStyle w:val="Normal"/>
        <w:rPr>
          <w:rFonts w:ascii="hack" w:hAnsi="hack"/>
          <w:sz w:val="24"/>
          <w:szCs w:val="24"/>
        </w:rPr>
      </w:pPr>
      <w:r>
        <w:rPr>
          <w:rFonts w:ascii="hack" w:hAnsi="hack"/>
          <w:sz w:val="24"/>
          <w:szCs w:val="24"/>
        </w:rPr>
        <w:drawing>
          <wp:anchor behindDoc="0" distT="0" distB="0" distL="0" distR="0" simplePos="0" locked="0" layoutInCell="0" allowOverlap="1" relativeHeight="13">
            <wp:simplePos x="0" y="0"/>
            <wp:positionH relativeFrom="column">
              <wp:posOffset>-19050</wp:posOffset>
            </wp:positionH>
            <wp:positionV relativeFrom="paragraph">
              <wp:posOffset>390525</wp:posOffset>
            </wp:positionV>
            <wp:extent cx="5731510" cy="764159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7641590"/>
                    </a:xfrm>
                    <a:prstGeom prst="rect">
                      <a:avLst/>
                    </a:prstGeom>
                  </pic:spPr>
                </pic:pic>
              </a:graphicData>
            </a:graphic>
          </wp:anchor>
        </w:drawing>
      </w:r>
    </w:p>
    <w:p>
      <w:pPr>
        <w:pStyle w:val="Normal"/>
        <w:rPr>
          <w:rFonts w:ascii="hack" w:hAnsi="hack"/>
          <w:sz w:val="24"/>
          <w:szCs w:val="24"/>
        </w:rPr>
      </w:pPr>
      <w:r>
        <w:rPr>
          <w:rFonts w:ascii="hack" w:hAnsi="hack"/>
          <w:sz w:val="24"/>
          <w:szCs w:val="24"/>
        </w:rPr>
      </w:r>
    </w:p>
    <w:p>
      <w:pPr>
        <w:pStyle w:val="Normal"/>
        <w:rPr>
          <w:rFonts w:ascii="hack" w:hAnsi="hack"/>
          <w:sz w:val="24"/>
          <w:szCs w:val="24"/>
        </w:rPr>
      </w:pPr>
      <w:r>
        <w:rPr>
          <w:rFonts w:ascii="hack" w:hAnsi="hack"/>
          <w:sz w:val="24"/>
          <w:szCs w:val="24"/>
        </w:rPr>
      </w:r>
    </w:p>
    <w:p>
      <w:pPr>
        <w:pStyle w:val="Normal"/>
        <w:rPr>
          <w:rFonts w:ascii="hack" w:hAnsi="hack"/>
          <w:b/>
          <w:bCs/>
          <w:sz w:val="36"/>
          <w:szCs w:val="36"/>
        </w:rPr>
      </w:pPr>
      <w:r>
        <w:rPr>
          <w:rFonts w:ascii="hack" w:hAnsi="hack"/>
          <w:b/>
          <w:bCs/>
          <w:sz w:val="36"/>
          <w:szCs w:val="36"/>
        </w:rPr>
        <w:t>8. Recommendations Summary</w:t>
      </w:r>
    </w:p>
    <w:p>
      <w:pPr>
        <w:pStyle w:val="Normal"/>
        <w:rPr>
          <w:rFonts w:ascii="hack" w:hAnsi="hack"/>
          <w:sz w:val="24"/>
          <w:szCs w:val="24"/>
        </w:rPr>
      </w:pPr>
      <w:r>
        <w:rPr>
          <w:rFonts w:ascii="hack" w:hAnsi="hack"/>
          <w:sz w:val="24"/>
          <w:szCs w:val="24"/>
        </w:rPr>
        <w:t xml:space="preserve">• </w:t>
      </w:r>
      <w:r>
        <w:rPr>
          <w:rFonts w:ascii="hack" w:hAnsi="hack"/>
          <w:sz w:val="24"/>
          <w:szCs w:val="24"/>
        </w:rPr>
        <w:t>Enforce multi-factor authentication</w:t>
        <w:br/>
        <w:t>• Conduct phishing awareness training</w:t>
        <w:br/>
        <w:t>• Enable centralized logging and monitoring</w:t>
        <w:br/>
        <w:t>• Restrict remote administration protocols</w:t>
        <w:br/>
        <w:t>• Deploy endpoint detection and response solutions</w:t>
      </w:r>
    </w:p>
    <w:p>
      <w:pPr>
        <w:pStyle w:val="Normal"/>
        <w:rPr>
          <w:rFonts w:ascii="hack" w:hAnsi="hack"/>
          <w:sz w:val="24"/>
          <w:szCs w:val="24"/>
        </w:rPr>
      </w:pPr>
      <w:r>
        <w:rPr>
          <w:rFonts w:ascii="hack" w:hAnsi="hack"/>
          <w:sz w:val="24"/>
          <w:szCs w:val="24"/>
        </w:rPr>
      </w:r>
    </w:p>
    <w:p>
      <w:pPr>
        <w:pStyle w:val="HorizontalLine"/>
        <w:rPr/>
      </w:pPr>
      <w:r>
        <w:rPr/>
      </w:r>
    </w:p>
    <w:p>
      <w:pPr>
        <w:pStyle w:val="Heading2"/>
        <w:rPr>
          <w:rFonts w:ascii="hack" w:hAnsi="hack"/>
          <w:b/>
          <w:bCs/>
          <w:sz w:val="36"/>
          <w:szCs w:val="36"/>
        </w:rPr>
      </w:pPr>
      <w:r>
        <w:rPr>
          <w:rFonts w:ascii="hack" w:hAnsi="hack"/>
          <w:b/>
          <w:bCs/>
          <w:sz w:val="36"/>
          <w:szCs w:val="36"/>
        </w:rPr>
        <w:t>9. Conclusion</w:t>
      </w:r>
    </w:p>
    <w:p>
      <w:pPr>
        <w:pStyle w:val="Normal"/>
        <w:jc w:val="left"/>
        <w:rPr/>
      </w:pPr>
      <w:r>
        <w:rPr>
          <w:rStyle w:val="Strong"/>
          <w:rFonts w:ascii="hack" w:hAnsi="hack"/>
          <w:b w:val="false"/>
          <w:bCs w:val="false"/>
          <w:sz w:val="24"/>
          <w:szCs w:val="24"/>
        </w:rPr>
        <w:t>The Comprehensive Reporting Lab demonstrated the importance of structured red team documentation and executive communication. The PTES-aligned report effectively communicated technical findings, risks, and remediation strategies.</w:t>
      </w:r>
    </w:p>
    <w:p>
      <w:pPr>
        <w:pStyle w:val="Normal"/>
        <w:jc w:val="left"/>
        <w:rPr>
          <w:rStyle w:val="Strong"/>
          <w:rFonts w:ascii="hack" w:hAnsi="hack"/>
          <w:b w:val="false"/>
          <w:bCs w:val="false"/>
          <w:sz w:val="24"/>
          <w:szCs w:val="24"/>
        </w:rPr>
      </w:pPr>
      <w:r>
        <w:rPr/>
      </w:r>
    </w:p>
    <w:p>
      <w:pPr>
        <w:pStyle w:val="HorizontalLine"/>
        <w:spacing w:before="0" w:after="283"/>
        <w:rPr>
          <w:rStyle w:val="Strong"/>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576" w:top="1440" w:footer="432" w:bottom="144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libri">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hack">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4"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5"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behindDoc="0" distT="114300" distB="114300" distL="114300" distR="114300" simplePos="0" locked="0" layoutInCell="0" allowOverlap="1" relativeHeight="11">
          <wp:simplePos x="0" y="0"/>
          <wp:positionH relativeFrom="column">
            <wp:posOffset>-1444625</wp:posOffset>
          </wp:positionH>
          <wp:positionV relativeFrom="paragraph">
            <wp:posOffset>-342900</wp:posOffset>
          </wp:positionV>
          <wp:extent cx="8618220" cy="1023620"/>
          <wp:effectExtent l="0" t="0" r="0" b="0"/>
          <wp:wrapTopAndBottom/>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1"/>
                  <a:srcRect l="0" t="6803" r="0" b="0"/>
                  <a:stretch>
                    <a:fillRect/>
                  </a:stretch>
                </pic:blipFill>
                <pic:spPr bwMode="auto">
                  <a:xfrm>
                    <a:off x="0" y="0"/>
                    <a:ext cx="8618220" cy="102362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behindDoc="0" distT="114300" distB="114300" distL="114300" distR="114300" simplePos="0" locked="0" layoutInCell="0" allowOverlap="1" relativeHeight="11">
          <wp:simplePos x="0" y="0"/>
          <wp:positionH relativeFrom="column">
            <wp:posOffset>-1444625</wp:posOffset>
          </wp:positionH>
          <wp:positionV relativeFrom="paragraph">
            <wp:posOffset>-342900</wp:posOffset>
          </wp:positionV>
          <wp:extent cx="8618220" cy="1023620"/>
          <wp:effectExtent l="0" t="0" r="0" b="0"/>
          <wp:wrapTopAndBottom/>
          <wp:docPr id="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
                  <pic:cNvPicPr>
                    <a:picLocks noChangeAspect="1" noChangeArrowheads="1"/>
                  </pic:cNvPicPr>
                </pic:nvPicPr>
                <pic:blipFill>
                  <a:blip r:embed="rId1"/>
                  <a:srcRect l="0" t="6803" r="0" b="0"/>
                  <a:stretch>
                    <a:fillRect/>
                  </a:stretch>
                </pic:blipFill>
                <pic:spPr bwMode="auto">
                  <a:xfrm>
                    <a:off x="0" y="0"/>
                    <a:ext cx="8618220" cy="102362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5">
    <w:lvl w:ilvl="0">
      <w:start w:val="1"/>
      <w:numFmt w:val="decimal"/>
      <w:lvlText w:val="%1."/>
      <w:lvlJc w:val="left"/>
      <w:pPr>
        <w:tabs>
          <w:tab w:val="num" w:pos="360"/>
        </w:tabs>
        <w:ind w:left="360" w:hanging="360"/>
      </w:pPr>
      <w:rPr>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720"/>
        </w:tabs>
        <w:ind w:left="720" w:hanging="360"/>
      </w:pPr>
      <w:rPr>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1080"/>
        </w:tabs>
        <w:ind w:left="1080" w:hanging="360"/>
      </w:pPr>
      <w:rPr>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en-IN"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76" w:before="0" w:after="0"/>
      <w:jc w:val="left"/>
    </w:pPr>
    <w:rPr>
      <w:rFonts w:ascii="Arial" w:hAnsi="Arial" w:eastAsia="Arial" w:cs="Arial"/>
      <w:color w:val="auto"/>
      <w:kern w:val="0"/>
      <w:sz w:val="22"/>
      <w:szCs w:val="22"/>
      <w:lang w:val="en-GB" w:eastAsia="en-IN"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paragraph" w:styleId="Heading7">
    <w:name w:val="Heading 7"/>
    <w:basedOn w:val="Normal"/>
    <w:next w:val="Normal"/>
    <w:qFormat/>
    <w:pPr>
      <w:keepNext w:val="true"/>
      <w:keepLines/>
      <w:numPr>
        <w:ilvl w:val="0"/>
        <w:numId w:val="0"/>
      </w:numPr>
      <w:spacing w:before="200" w:after="0"/>
      <w:outlineLvl w:val="6"/>
    </w:pPr>
    <w:rPr>
      <w:rFonts w:ascii="Calibri" w:hAnsi="Calibri" w:eastAsia="ＭＳ ゴシック" w:cs="Arial"/>
      <w:i/>
      <w:iCs/>
      <w:color w:themeColor="dark1" w:themeTint="bf" w:val="404040"/>
    </w:rPr>
  </w:style>
  <w:style w:type="paragraph" w:styleId="Heading8">
    <w:name w:val="Heading 8"/>
    <w:basedOn w:val="Normal"/>
    <w:next w:val="Normal"/>
    <w:qFormat/>
    <w:pPr>
      <w:keepNext w:val="true"/>
      <w:keepLines/>
      <w:numPr>
        <w:ilvl w:val="0"/>
        <w:numId w:val="0"/>
      </w:numPr>
      <w:spacing w:before="200" w:after="0"/>
      <w:outlineLvl w:val="7"/>
    </w:pPr>
    <w:rPr>
      <w:rFonts w:ascii="Calibri" w:hAnsi="Calibri" w:eastAsia="ＭＳ ゴシック" w:cs="Arial"/>
      <w:color w:themeColor="accent1" w:val="4F81BD"/>
      <w:sz w:val="20"/>
      <w:szCs w:val="20"/>
    </w:rPr>
  </w:style>
  <w:style w:type="paragraph" w:styleId="Heading9">
    <w:name w:val="Heading 9"/>
    <w:basedOn w:val="Normal"/>
    <w:next w:val="Normal"/>
    <w:qFormat/>
    <w:pPr>
      <w:keepNext w:val="true"/>
      <w:keepLines/>
      <w:numPr>
        <w:ilvl w:val="0"/>
        <w:numId w:val="0"/>
      </w:numPr>
      <w:spacing w:before="200" w:after="0"/>
      <w:outlineLvl w:val="8"/>
    </w:pPr>
    <w:rPr>
      <w:rFonts w:ascii="Calibri" w:hAnsi="Calibri" w:eastAsia="ＭＳ ゴシック" w:cs="Arial"/>
      <w:i/>
      <w:iCs/>
      <w:color w:themeColor="dark1" w:themeTint="bf" w:val="404040"/>
      <w:sz w:val="20"/>
      <w:szCs w:val="20"/>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ookTitle">
    <w:name w:val="Book Title"/>
    <w:basedOn w:val="DefaultParagraphFont"/>
    <w:qFormat/>
    <w:rPr>
      <w:b/>
      <w:bCs/>
      <w:smallCaps/>
      <w:spacing w:val="5"/>
    </w:rPr>
  </w:style>
  <w:style w:type="character" w:styleId="IntenseReference">
    <w:name w:val="Intense Reference"/>
    <w:basedOn w:val="DefaultParagraphFont"/>
    <w:qFormat/>
    <w:rPr>
      <w:b/>
      <w:bCs/>
      <w:smallCaps/>
      <w:color w:themeColor="accent2" w:val="C0504D"/>
      <w:spacing w:val="5"/>
      <w:u w:val="single"/>
    </w:rPr>
  </w:style>
  <w:style w:type="character" w:styleId="SubtleReference">
    <w:name w:val="Subtle Reference"/>
    <w:basedOn w:val="DefaultParagraphFont"/>
    <w:qFormat/>
    <w:rPr>
      <w:smallCaps/>
      <w:color w:themeColor="accent2" w:val="C0504D"/>
      <w:u w:val="single"/>
    </w:rPr>
  </w:style>
  <w:style w:type="character" w:styleId="IntenseEmphasis">
    <w:name w:val="Intense Emphasis"/>
    <w:basedOn w:val="DefaultParagraphFont"/>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QuoteChar">
    <w:name w:val="Intense Quote Char"/>
    <w:basedOn w:val="DefaultParagraphFont"/>
    <w:qFormat/>
    <w:rPr>
      <w:b/>
      <w:bCs/>
      <w:i/>
      <w:iCs/>
      <w:color w:themeColor="accent1" w:val="4F81BD"/>
    </w:rPr>
  </w:style>
  <w:style w:type="character" w:styleId="Emphasis">
    <w:name w:val="Emphasis"/>
    <w:basedOn w:val="DefaultParagraphFont"/>
    <w:qFormat/>
    <w:rPr>
      <w:i/>
      <w:iCs/>
    </w:rPr>
  </w:style>
  <w:style w:type="character" w:styleId="Heading9Char">
    <w:name w:val="Heading 9 Char"/>
    <w:basedOn w:val="DefaultParagraphFont"/>
    <w:qFormat/>
    <w:rPr>
      <w:rFonts w:ascii="Calibri" w:hAnsi="Calibri" w:eastAsia="ＭＳ ゴシック" w:cs="Arial"/>
      <w:i/>
      <w:iCs/>
      <w:color w:themeColor="dark1" w:themeTint="bf" w:val="404040"/>
      <w:sz w:val="20"/>
      <w:szCs w:val="20"/>
    </w:rPr>
  </w:style>
  <w:style w:type="character" w:styleId="Heading8Char">
    <w:name w:val="Heading 8 Char"/>
    <w:basedOn w:val="DefaultParagraphFont"/>
    <w:qFormat/>
    <w:rPr>
      <w:rFonts w:ascii="Calibri" w:hAnsi="Calibri" w:eastAsia="ＭＳ ゴシック" w:cs="Arial"/>
      <w:color w:themeColor="accent1" w:val="4F81BD"/>
      <w:sz w:val="20"/>
      <w:szCs w:val="20"/>
    </w:rPr>
  </w:style>
  <w:style w:type="character" w:styleId="Heading7Char">
    <w:name w:val="Heading 7 Char"/>
    <w:basedOn w:val="DefaultParagraphFont"/>
    <w:qFormat/>
    <w:rPr>
      <w:rFonts w:ascii="Calibri" w:hAnsi="Calibri" w:eastAsia="ＭＳ ゴシック" w:cs="Arial"/>
      <w:i/>
      <w:iCs/>
      <w:color w:themeColor="dark1" w:themeTint="bf" w:val="404040"/>
    </w:rPr>
  </w:style>
  <w:style w:type="character" w:styleId="Heading6Char">
    <w:name w:val="Heading 6 Char"/>
    <w:basedOn w:val="DefaultParagraphFont"/>
    <w:qFormat/>
    <w:rPr>
      <w:rFonts w:ascii="Calibri" w:hAnsi="Calibri" w:eastAsia="ＭＳ ゴシック" w:cs="Arial"/>
      <w:i/>
      <w:iCs/>
      <w:color w:themeColor="accent1" w:themeShade="7f" w:val="243F60"/>
    </w:rPr>
  </w:style>
  <w:style w:type="character" w:styleId="Heading5Char">
    <w:name w:val="Heading 5 Char"/>
    <w:basedOn w:val="DefaultParagraphFont"/>
    <w:qFormat/>
    <w:rPr>
      <w:rFonts w:ascii="Calibri" w:hAnsi="Calibri" w:eastAsia="ＭＳ ゴシック" w:cs="Arial"/>
      <w:color w:themeColor="accent1" w:themeShade="7f" w:val="243F60"/>
    </w:rPr>
  </w:style>
  <w:style w:type="character" w:styleId="Heading4Char">
    <w:name w:val="Heading 4 Char"/>
    <w:basedOn w:val="DefaultParagraphFont"/>
    <w:qFormat/>
    <w:rPr>
      <w:rFonts w:ascii="Calibri" w:hAnsi="Calibri" w:eastAsia="ＭＳ ゴシック" w:cs="Arial"/>
      <w:b/>
      <w:bCs/>
      <w:i/>
      <w:iCs/>
      <w:color w:themeColor="accent1" w:val="4F81BD"/>
    </w:rPr>
  </w:style>
  <w:style w:type="character" w:styleId="QuoteChar">
    <w:name w:val="Quote Char"/>
    <w:basedOn w:val="DefaultParagraphFont"/>
    <w:qFormat/>
    <w:rPr>
      <w:i/>
      <w:iCs/>
      <w:color w:themeColor="dark1" w:val="000000"/>
    </w:rPr>
  </w:style>
  <w:style w:type="character" w:styleId="MacroTextChar">
    <w:name w:val="Macro Text Char"/>
    <w:basedOn w:val="DefaultParagraphFont"/>
    <w:qFormat/>
    <w:rPr>
      <w:rFonts w:ascii="Courier" w:hAnsi="Courier"/>
      <w:sz w:val="20"/>
      <w:szCs w:val="20"/>
    </w:rPr>
  </w:style>
  <w:style w:type="character" w:styleId="BodyText3Char">
    <w:name w:val="Body Text 3 Char"/>
    <w:basedOn w:val="DefaultParagraphFont"/>
    <w:qFormat/>
    <w:rPr>
      <w:sz w:val="16"/>
      <w:szCs w:val="16"/>
    </w:rPr>
  </w:style>
  <w:style w:type="character" w:styleId="BodyText2Char">
    <w:name w:val="Body Text 2 Char"/>
    <w:basedOn w:val="DefaultParagraphFont"/>
    <w:qFormat/>
    <w:rPr/>
  </w:style>
  <w:style w:type="character" w:styleId="BodyTextChar">
    <w:name w:val="Body Text Char"/>
    <w:basedOn w:val="DefaultParagraphFont"/>
    <w:qFormat/>
    <w:rPr/>
  </w:style>
  <w:style w:type="character" w:styleId="SubtitleChar">
    <w:name w:val="Subtitle Char"/>
    <w:basedOn w:val="DefaultParagraphFont"/>
    <w:qFormat/>
    <w:rPr>
      <w:rFonts w:ascii="Calibri" w:hAnsi="Calibri" w:eastAsia="ＭＳ ゴシック" w:cs="Arial"/>
      <w:i/>
      <w:iCs/>
      <w:color w:themeColor="accent1" w:val="4F81BD"/>
      <w:spacing w:val="15"/>
      <w:sz w:val="24"/>
      <w:szCs w:val="24"/>
    </w:rPr>
  </w:style>
  <w:style w:type="character" w:styleId="TitleChar">
    <w:name w:val="Title Char"/>
    <w:basedOn w:val="DefaultParagraphFont"/>
    <w:qFormat/>
    <w:rPr>
      <w:rFonts w:ascii="Calibri" w:hAnsi="Calibri" w:eastAsia="ＭＳ ゴシック" w:cs="Arial"/>
      <w:color w:themeColor="dark2" w:themeShade="bf" w:val="17365D"/>
      <w:spacing w:val="5"/>
      <w:kern w:val="2"/>
      <w:sz w:val="52"/>
      <w:szCs w:val="52"/>
    </w:rPr>
  </w:style>
  <w:style w:type="character" w:styleId="Heading3Char">
    <w:name w:val="Heading 3 Char"/>
    <w:basedOn w:val="DefaultParagraphFont"/>
    <w:qFormat/>
    <w:rPr>
      <w:rFonts w:ascii="Calibri" w:hAnsi="Calibri" w:eastAsia="ＭＳ ゴシック" w:cs="Arial"/>
      <w:b/>
      <w:bCs/>
      <w:color w:themeColor="accent1" w:val="4F81BD"/>
    </w:rPr>
  </w:style>
  <w:style w:type="character" w:styleId="Heading2Char">
    <w:name w:val="Heading 2 Char"/>
    <w:basedOn w:val="DefaultParagraphFont"/>
    <w:qFormat/>
    <w:rPr>
      <w:rFonts w:ascii="Calibri" w:hAnsi="Calibri" w:eastAsia="ＭＳ ゴシック" w:cs="Arial"/>
      <w:b/>
      <w:bCs/>
      <w:color w:themeColor="accent1" w:val="4F81BD"/>
      <w:sz w:val="26"/>
      <w:szCs w:val="26"/>
    </w:rPr>
  </w:style>
  <w:style w:type="character" w:styleId="Heading1Char">
    <w:name w:val="Heading 1 Char"/>
    <w:basedOn w:val="DefaultParagraphFont"/>
    <w:qFormat/>
    <w:rPr>
      <w:rFonts w:ascii="Calibri" w:hAnsi="Calibri" w:eastAsia="ＭＳ ゴシック" w:cs="Arial"/>
      <w:b/>
      <w:bCs/>
      <w:color w:themeColor="accent1" w:themeShade="bf" w:val="365F91"/>
      <w:sz w:val="28"/>
      <w:szCs w:val="28"/>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513" w:leader="none"/>
        <w:tab w:val="right" w:pos="9026" w:leader="none"/>
      </w:tabs>
      <w:spacing w:lineRule="auto" w:line="240"/>
    </w:pPr>
    <w:rPr/>
  </w:style>
  <w:style w:type="paragraph" w:styleId="Footer">
    <w:name w:val="Footer"/>
    <w:basedOn w:val="Normal"/>
    <w:link w:val="FooterChar"/>
    <w:pPr>
      <w:tabs>
        <w:tab w:val="clear" w:pos="720"/>
        <w:tab w:val="center" w:pos="4513" w:leader="none"/>
        <w:tab w:val="right" w:pos="9026" w:leader="none"/>
      </w:tabs>
      <w:spacing w:lineRule="auto" w:line="24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left="567" w:right="567"/>
    </w:pPr>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1"/>
    <w:next w:val="Normal"/>
    <w:qFormat/>
    <w:pPr>
      <w:outlineLvl w:val="9"/>
    </w:pPr>
    <w:rPr/>
  </w:style>
  <w:style w:type="paragraph" w:styleId="IntenseQuote">
    <w:name w:val="Intense Quote"/>
    <w:basedOn w:val="Normal"/>
    <w:next w:val="Normal"/>
    <w:qFormat/>
    <w:pPr>
      <w:pBdr>
        <w:bottom w:val="single" w:sz="4" w:space="4" w:color="4F81BD"/>
      </w:pBdr>
      <w:spacing w:before="200" w:after="280"/>
      <w:ind w:left="936" w:right="936"/>
    </w:pPr>
    <w:rPr>
      <w:b/>
      <w:bCs/>
      <w:i/>
      <w:iCs/>
      <w:color w:themeColor="accent1" w:val="4F81BD"/>
    </w:rPr>
  </w:style>
  <w:style w:type="paragraph" w:styleId="Quote">
    <w:name w:val="Quote"/>
    <w:basedOn w:val="Normal"/>
    <w:next w:val="Normal"/>
    <w:qFormat/>
    <w:pPr/>
    <w:rPr>
      <w:i/>
      <w:iCs/>
      <w:color w:themeColor="dark1" w:val="000000"/>
    </w:rPr>
  </w:style>
  <w:style w:type="paragraph" w:styleId="macro">
    <w:name w:val="macro"/>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Arial" w:cs="Arial"/>
      <w:color w:val="auto"/>
      <w:kern w:val="0"/>
      <w:sz w:val="20"/>
      <w:szCs w:val="20"/>
      <w:lang w:val="en-GB" w:eastAsia="en-IN" w:bidi="ar-SA"/>
    </w:rPr>
  </w:style>
  <w:style w:type="paragraph" w:styleId="ListContinue3">
    <w:name w:val="List Continue 3"/>
    <w:basedOn w:val="Normal"/>
    <w:pPr>
      <w:spacing w:before="0" w:after="120"/>
      <w:ind w:left="1080"/>
      <w:contextualSpacing/>
    </w:pPr>
    <w:rPr/>
  </w:style>
  <w:style w:type="paragraph" w:styleId="ListContinue2">
    <w:name w:val="List Continue 2"/>
    <w:basedOn w:val="Normal"/>
    <w:pPr>
      <w:spacing w:before="0" w:after="120"/>
      <w:ind w:left="720"/>
      <w:contextualSpacing/>
    </w:pPr>
    <w:rPr/>
  </w:style>
  <w:style w:type="paragraph" w:styleId="ListContinue">
    <w:name w:val="List Continue"/>
    <w:basedOn w:val="Normal"/>
    <w:pPr>
      <w:spacing w:before="0" w:after="120"/>
      <w:ind w:left="360"/>
      <w:contextualSpacing/>
    </w:pPr>
    <w:rPr/>
  </w:style>
  <w:style w:type="paragraph" w:styleId="ListNumber3">
    <w:name w:val="List Number 3"/>
    <w:basedOn w:val="Normal"/>
    <w:pPr>
      <w:numPr>
        <w:ilvl w:val="0"/>
        <w:numId w:val="7"/>
      </w:numPr>
      <w:spacing w:before="0" w:after="200"/>
      <w:contextualSpacing/>
    </w:pPr>
    <w:rPr/>
  </w:style>
  <w:style w:type="paragraph" w:styleId="ListNumber2">
    <w:name w:val="List Number 2"/>
    <w:basedOn w:val="Normal"/>
    <w:pPr>
      <w:numPr>
        <w:ilvl w:val="0"/>
        <w:numId w:val="6"/>
      </w:numPr>
      <w:spacing w:before="0" w:after="200"/>
      <w:contextualSpacing/>
    </w:pPr>
    <w:rPr/>
  </w:style>
  <w:style w:type="paragraph" w:styleId="ListNumber">
    <w:name w:val="List Number"/>
    <w:basedOn w:val="Normal"/>
    <w:pPr>
      <w:numPr>
        <w:ilvl w:val="0"/>
        <w:numId w:val="5"/>
      </w:numPr>
      <w:spacing w:before="0" w:after="200"/>
      <w:contextualSpacing/>
    </w:pPr>
    <w:rPr/>
  </w:style>
  <w:style w:type="paragraph" w:styleId="ListBullet3">
    <w:name w:val="List Bullet 3"/>
    <w:basedOn w:val="Normal"/>
    <w:pPr>
      <w:numPr>
        <w:ilvl w:val="0"/>
        <w:numId w:val="4"/>
      </w:numPr>
      <w:spacing w:before="0" w:after="200"/>
      <w:contextualSpacing/>
    </w:pPr>
    <w:rPr/>
  </w:style>
  <w:style w:type="paragraph" w:styleId="ListBullet2">
    <w:name w:val="List Bullet 2"/>
    <w:basedOn w:val="Normal"/>
    <w:pPr>
      <w:numPr>
        <w:ilvl w:val="0"/>
        <w:numId w:val="3"/>
      </w:numPr>
      <w:spacing w:before="0" w:after="200"/>
      <w:contextualSpacing/>
    </w:pPr>
    <w:rPr/>
  </w:style>
  <w:style w:type="paragraph" w:styleId="ListBullet">
    <w:name w:val="List Bullet"/>
    <w:basedOn w:val="Normal"/>
    <w:pPr>
      <w:numPr>
        <w:ilvl w:val="0"/>
        <w:numId w:val="2"/>
      </w:numPr>
      <w:spacing w:before="0" w:after="200"/>
      <w:contextualSpacing/>
    </w:pPr>
    <w:rPr/>
  </w:style>
  <w:style w:type="paragraph" w:styleId="List3">
    <w:name w:val="List 3"/>
    <w:basedOn w:val="Normal"/>
    <w:qFormat/>
    <w:pPr>
      <w:spacing w:before="0" w:after="200"/>
      <w:ind w:hanging="360" w:left="1080"/>
      <w:contextualSpacing/>
    </w:pPr>
    <w:rPr/>
  </w:style>
  <w:style w:type="paragraph" w:styleId="List2">
    <w:name w:val="List 2"/>
    <w:basedOn w:val="Normal"/>
    <w:qFormat/>
    <w:pPr>
      <w:spacing w:before="0" w:after="200"/>
      <w:ind w:hanging="360" w:left="720"/>
      <w:contextualSpacing/>
    </w:pPr>
    <w:rPr/>
  </w:style>
  <w:style w:type="paragraph" w:styleId="BodyText3">
    <w:name w:val="Body Text 3"/>
    <w:basedOn w:val="Normal"/>
    <w:qFormat/>
    <w:pPr>
      <w:spacing w:before="0" w:after="120"/>
    </w:pPr>
    <w:rPr>
      <w:sz w:val="16"/>
      <w:szCs w:val="16"/>
    </w:rPr>
  </w:style>
  <w:style w:type="paragraph" w:styleId="BodyText2">
    <w:name w:val="Body Text 2"/>
    <w:basedOn w:val="Normal"/>
    <w:qFormat/>
    <w:pPr>
      <w:spacing w:lineRule="auto" w:line="480" w:before="0" w:after="120"/>
    </w:pPr>
    <w:rPr/>
  </w:style>
  <w:style w:type="paragraph" w:styleId="ListParagraph">
    <w:name w:val="List Paragraph"/>
    <w:basedOn w:val="Normal"/>
    <w:qFormat/>
    <w:pPr>
      <w:spacing w:before="0" w:after="200"/>
      <w:ind w:left="720"/>
      <w:contextualSpacing/>
    </w:pPr>
    <w:rPr/>
  </w:style>
  <w:style w:type="paragraph" w:styleId="NoSpacing">
    <w:name w:val="No Spacing"/>
    <w:qFormat/>
    <w:pPr>
      <w:widowControl/>
      <w:bidi w:val="0"/>
      <w:spacing w:lineRule="auto" w:line="240" w:before="0" w:after="0"/>
      <w:jc w:val="left"/>
    </w:pPr>
    <w:rPr>
      <w:rFonts w:ascii="Arial" w:hAnsi="Arial" w:eastAsia="Arial" w:cs="Arial"/>
      <w:color w:val="auto"/>
      <w:kern w:val="0"/>
      <w:sz w:val="22"/>
      <w:szCs w:val="22"/>
      <w:lang w:val="en-GB" w:eastAsia="en-IN" w:bidi="ar-SA"/>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76</TotalTime>
  <Application>LibreOffice/24.2.7.2$Linux_X86_64 LibreOffice_project/420$Build-2</Application>
  <AppVersion>15.0000</AppVersion>
  <Pages>5</Pages>
  <Words>356</Words>
  <Characters>2520</Characters>
  <CharactersWithSpaces>2817</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2026-03-31T05:00:00Z</dcterms:created>
  <dc:creator/>
  <dc:description/>
  <dc:language>en-US</dc:language>
  <cp:lastModifiedBy/>
  <dcterms:modified xsi:type="dcterms:W3CDTF">2026-05-12T13:36:59Z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