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D799" w14:textId="77777777" w:rsidR="00212A94" w:rsidRPr="00212A94" w:rsidRDefault="00212A94" w:rsidP="00212A94">
      <w:pPr>
        <w:spacing w:line="480" w:lineRule="auto"/>
      </w:pPr>
      <w:r w:rsidRPr="00212A94">
        <w:rPr>
          <w:b/>
          <w:bCs/>
        </w:rPr>
        <w:t>CS 405 Journal Reflection – Secure Coding and Zero Trust</w:t>
      </w:r>
    </w:p>
    <w:p w14:paraId="0848CA5F" w14:textId="77777777" w:rsidR="00212A94" w:rsidRPr="00212A94" w:rsidRDefault="00212A94" w:rsidP="00212A94">
      <w:pPr>
        <w:spacing w:line="480" w:lineRule="auto"/>
      </w:pPr>
      <w:r w:rsidRPr="00212A94">
        <w:t>Throughout this course, my understanding of secure coding has shifted from viewing security as a final step to recognizing it as a continuous process integrated into every stage of development. Early on, it was easy to think of security as something handled after functionality was complete, but the course materials demonstrated how dangerous that mindset can be. Adopting a secure coding standard from the beginning ensures that vulnerabilities such as buffer overflows, improper input validation, and memory mismanagement are prevented rather than patched later. This aligns with best practices such as validating all inputs, using safe memory handling techniques, and incorporating automated tools like static analysis to detect issues early in the development lifecycle (McGraw, 2006).</w:t>
      </w:r>
    </w:p>
    <w:p w14:paraId="6B88646B" w14:textId="77777777" w:rsidR="00212A94" w:rsidRPr="00212A94" w:rsidRDefault="00212A94" w:rsidP="00212A94">
      <w:pPr>
        <w:spacing w:line="480" w:lineRule="auto"/>
      </w:pPr>
      <w:r w:rsidRPr="00212A94">
        <w:t>Another key takeaway is the importance of evaluating risk and understanding the cost-benefit tradeoff of mitigation strategies. Not every vulnerability carries the same level of risk, and attempting to eliminate all risk entirely can be unrealistic and costly. Instead, developers must assess the likelihood and impact of potential threats and prioritize mitigation efforts accordingly. For example, vulnerabilities that could lead to remote code execution or unauthorized access should be addressed immediately, while lower-risk issues may be monitored or resolved over time. This approach allows organizations to allocate resources effectively while still maintaining strong security. It also reinforces the importance of defense in depth, where multiple layers of protection reduce the overall likelihood of a successful attack (OWASP Foundation, 2021).</w:t>
      </w:r>
    </w:p>
    <w:p w14:paraId="6A8148C4" w14:textId="77777777" w:rsidR="00212A94" w:rsidRPr="00212A94" w:rsidRDefault="00212A94" w:rsidP="00212A94">
      <w:pPr>
        <w:spacing w:line="480" w:lineRule="auto"/>
      </w:pPr>
      <w:r w:rsidRPr="00212A94">
        <w:lastRenderedPageBreak/>
        <w:t>The concept of zero trust further expands this mindset by eliminating the assumption that anything within a system is inherently safe. Instead, zero trust requires continuous verification of users, devices, and processes, regardless of their location or prior authentication. This principle directly connects to secure coding practices, where developers should never assume that input or system components are trustworthy. From a development perspective, this means implementing strict access controls, enforcing least privilege, and ensuring that applications fail safely when unexpected behavior occurs. As a user, zero trust may introduce inconveniences such as frequent authentication checks, but these measures significantly reduce the risk of unauthorized access and lateral movement within a system (Rose et al., 2020).</w:t>
      </w:r>
    </w:p>
    <w:p w14:paraId="7CD1769E" w14:textId="77777777" w:rsidR="00212A94" w:rsidRPr="00212A94" w:rsidRDefault="00212A94" w:rsidP="00212A94">
      <w:pPr>
        <w:spacing w:line="480" w:lineRule="auto"/>
      </w:pPr>
      <w:r w:rsidRPr="00212A94">
        <w:t>Implementing effective security policies is essential to support these practices. A strong security policy should define clear standards for secure coding, access control, authentication, and monitoring. It should also incorporate industry standards and frameworks, such as those outlined in secure coding guidelines and zero trust architecture models. In addition, organizations should invest in developer training, automated testing tools, and continuous monitoring to ensure that policies are consistently followed. One recommendation is to integrate security into the development pipeline through practices like code reviews, automated vulnerability scanning, and dependency checks. This ensures that security is not treated as a separate task but as a core component of the development process (Seacord, 2013).</w:t>
      </w:r>
    </w:p>
    <w:p w14:paraId="0AC08F6D" w14:textId="77777777" w:rsidR="00212A94" w:rsidRPr="00212A94" w:rsidRDefault="00212A94" w:rsidP="00212A94">
      <w:pPr>
        <w:spacing w:line="480" w:lineRule="auto"/>
      </w:pPr>
      <w:r w:rsidRPr="00212A94">
        <w:t xml:space="preserve">Overall, this course has reinforced the idea that secure coding is not optional but essential in modern software development. As cyber threats continue to evolve, developers must </w:t>
      </w:r>
      <w:r w:rsidRPr="00212A94">
        <w:lastRenderedPageBreak/>
        <w:t>take a proactive approach by building security into their code from the start, continuously assessing risk, and adopting principles like zero trust. Moving forward, I will apply these practices by prioritizing input validation, minimizing system privileges, and leveraging tools that help identify vulnerabilities early. By doing so, I can contribute to building more secure, reliable, and resilient applications.</w:t>
      </w:r>
    </w:p>
    <w:p w14:paraId="3E2C0A3A" w14:textId="77777777" w:rsidR="00BE4AD7" w:rsidRDefault="00BE4AD7" w:rsidP="00212A94">
      <w:pPr>
        <w:spacing w:line="480" w:lineRule="auto"/>
      </w:pPr>
    </w:p>
    <w:p w14:paraId="2FC01717" w14:textId="77777777" w:rsidR="00212A94" w:rsidRDefault="00212A94" w:rsidP="00212A94">
      <w:pPr>
        <w:spacing w:line="480" w:lineRule="auto"/>
      </w:pPr>
    </w:p>
    <w:p w14:paraId="4EF8EA2B" w14:textId="77777777" w:rsidR="00212A94" w:rsidRDefault="00212A94" w:rsidP="00212A94">
      <w:pPr>
        <w:spacing w:line="480" w:lineRule="auto"/>
      </w:pPr>
    </w:p>
    <w:p w14:paraId="46CC1ECA" w14:textId="77777777" w:rsidR="00212A94" w:rsidRDefault="00212A94" w:rsidP="00212A94">
      <w:pPr>
        <w:spacing w:line="480" w:lineRule="auto"/>
      </w:pPr>
    </w:p>
    <w:p w14:paraId="0C4FDB89" w14:textId="77777777" w:rsidR="00212A94" w:rsidRDefault="00212A94" w:rsidP="00212A94">
      <w:pPr>
        <w:spacing w:line="480" w:lineRule="auto"/>
      </w:pPr>
    </w:p>
    <w:p w14:paraId="6A3E19B1" w14:textId="77777777" w:rsidR="00212A94" w:rsidRDefault="00212A94" w:rsidP="00212A94">
      <w:pPr>
        <w:spacing w:line="480" w:lineRule="auto"/>
      </w:pPr>
    </w:p>
    <w:p w14:paraId="4068779B" w14:textId="77777777" w:rsidR="00212A94" w:rsidRDefault="00212A94" w:rsidP="00212A94">
      <w:pPr>
        <w:spacing w:line="480" w:lineRule="auto"/>
      </w:pPr>
    </w:p>
    <w:p w14:paraId="4B5CC99E" w14:textId="77777777" w:rsidR="00212A94" w:rsidRDefault="00212A94" w:rsidP="00212A94">
      <w:pPr>
        <w:spacing w:line="480" w:lineRule="auto"/>
      </w:pPr>
    </w:p>
    <w:p w14:paraId="05FD3057" w14:textId="77777777" w:rsidR="00212A94" w:rsidRDefault="00212A94" w:rsidP="00212A94">
      <w:pPr>
        <w:spacing w:line="480" w:lineRule="auto"/>
      </w:pPr>
    </w:p>
    <w:p w14:paraId="35987177" w14:textId="77777777" w:rsidR="00212A94" w:rsidRDefault="00212A94" w:rsidP="00212A94">
      <w:pPr>
        <w:spacing w:line="480" w:lineRule="auto"/>
      </w:pPr>
    </w:p>
    <w:p w14:paraId="720AB32F" w14:textId="77777777" w:rsidR="00212A94" w:rsidRDefault="00212A94" w:rsidP="00212A94">
      <w:pPr>
        <w:spacing w:line="480" w:lineRule="auto"/>
      </w:pPr>
    </w:p>
    <w:p w14:paraId="39A11A9A" w14:textId="77777777" w:rsidR="00212A94" w:rsidRDefault="00212A94" w:rsidP="00212A94">
      <w:pPr>
        <w:spacing w:line="480" w:lineRule="auto"/>
      </w:pPr>
    </w:p>
    <w:p w14:paraId="628E2E42" w14:textId="77777777" w:rsidR="00212A94" w:rsidRDefault="00212A94" w:rsidP="00212A94">
      <w:pPr>
        <w:spacing w:line="480" w:lineRule="auto"/>
      </w:pPr>
    </w:p>
    <w:p w14:paraId="192C8CDD" w14:textId="77777777" w:rsidR="00212A94" w:rsidRPr="00212A94" w:rsidRDefault="00212A94" w:rsidP="00212A94">
      <w:pPr>
        <w:spacing w:line="480" w:lineRule="auto"/>
      </w:pPr>
      <w:r w:rsidRPr="00212A94">
        <w:rPr>
          <w:b/>
          <w:bCs/>
        </w:rPr>
        <w:lastRenderedPageBreak/>
        <w:t>References</w:t>
      </w:r>
    </w:p>
    <w:p w14:paraId="5D24AEF5" w14:textId="77777777" w:rsidR="00212A94" w:rsidRPr="00212A94" w:rsidRDefault="00212A94" w:rsidP="00212A94">
      <w:pPr>
        <w:spacing w:line="480" w:lineRule="auto"/>
        <w:ind w:left="720" w:hanging="720"/>
      </w:pPr>
      <w:r w:rsidRPr="00212A94">
        <w:t xml:space="preserve">McGraw, G. (2006). </w:t>
      </w:r>
      <w:r w:rsidRPr="00212A94">
        <w:rPr>
          <w:i/>
          <w:iCs/>
        </w:rPr>
        <w:t>Software security: Building security in</w:t>
      </w:r>
      <w:r w:rsidRPr="00212A94">
        <w:t>. Addison-Wesley.</w:t>
      </w:r>
    </w:p>
    <w:p w14:paraId="6358E171" w14:textId="77777777" w:rsidR="00212A94" w:rsidRPr="00212A94" w:rsidRDefault="00212A94" w:rsidP="00212A94">
      <w:pPr>
        <w:spacing w:line="480" w:lineRule="auto"/>
        <w:ind w:left="720" w:hanging="720"/>
      </w:pPr>
      <w:r w:rsidRPr="00212A94">
        <w:t xml:space="preserve">OWASP Foundation. (2021). </w:t>
      </w:r>
      <w:r w:rsidRPr="00212A94">
        <w:rPr>
          <w:i/>
          <w:iCs/>
        </w:rPr>
        <w:t>OWASP Top Ten Web Application Security Risks</w:t>
      </w:r>
      <w:r w:rsidRPr="00212A94">
        <w:t xml:space="preserve">. </w:t>
      </w:r>
      <w:hyperlink r:id="rId4" w:tgtFrame="_new" w:history="1">
        <w:r w:rsidRPr="00212A94">
          <w:rPr>
            <w:rStyle w:val="Hyperlink"/>
          </w:rPr>
          <w:t>https://owasp.org/www-project-top-ten/</w:t>
        </w:r>
      </w:hyperlink>
    </w:p>
    <w:p w14:paraId="63CD903A" w14:textId="77777777" w:rsidR="00212A94" w:rsidRPr="00212A94" w:rsidRDefault="00212A94" w:rsidP="00212A94">
      <w:pPr>
        <w:spacing w:line="480" w:lineRule="auto"/>
        <w:ind w:left="720" w:hanging="720"/>
      </w:pPr>
      <w:r w:rsidRPr="00212A94">
        <w:t xml:space="preserve">Rose, S., Borchert, O., Mitchell, S., &amp; Connelly, S. (2020). </w:t>
      </w:r>
      <w:r w:rsidRPr="00212A94">
        <w:rPr>
          <w:i/>
          <w:iCs/>
        </w:rPr>
        <w:t>Zero trust architecture (NIST Special Publication 800-207)</w:t>
      </w:r>
      <w:r w:rsidRPr="00212A94">
        <w:t xml:space="preserve">. National Institute of Standards and Technology. </w:t>
      </w:r>
      <w:hyperlink r:id="rId5" w:tgtFrame="_new" w:history="1">
        <w:r w:rsidRPr="00212A94">
          <w:rPr>
            <w:rStyle w:val="Hyperlink"/>
          </w:rPr>
          <w:t>https://doi.org/10.6028/NIST.SP.800-207</w:t>
        </w:r>
      </w:hyperlink>
    </w:p>
    <w:p w14:paraId="6022FBA7" w14:textId="77777777" w:rsidR="00212A94" w:rsidRPr="00212A94" w:rsidRDefault="00212A94" w:rsidP="00212A94">
      <w:pPr>
        <w:spacing w:line="480" w:lineRule="auto"/>
        <w:ind w:left="720" w:hanging="720"/>
      </w:pPr>
      <w:r w:rsidRPr="00212A94">
        <w:t xml:space="preserve">Seacord, R. C. (2013). </w:t>
      </w:r>
      <w:r w:rsidRPr="00212A94">
        <w:rPr>
          <w:i/>
          <w:iCs/>
        </w:rPr>
        <w:t>Secure coding in C and C++ (2nd ed.)</w:t>
      </w:r>
      <w:r w:rsidRPr="00212A94">
        <w:t>. Addison-Wesley.</w:t>
      </w:r>
    </w:p>
    <w:p w14:paraId="2C34E55E" w14:textId="77777777" w:rsidR="00212A94" w:rsidRPr="00212A94" w:rsidRDefault="00212A94" w:rsidP="00212A94">
      <w:pPr>
        <w:spacing w:line="480" w:lineRule="auto"/>
      </w:pPr>
    </w:p>
    <w:sectPr w:rsidR="00212A94" w:rsidRPr="00212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BF"/>
    <w:rsid w:val="00212A94"/>
    <w:rsid w:val="00522F6E"/>
    <w:rsid w:val="005C5315"/>
    <w:rsid w:val="006F34BF"/>
    <w:rsid w:val="00806194"/>
    <w:rsid w:val="008450AC"/>
    <w:rsid w:val="009C3AA7"/>
    <w:rsid w:val="00A349C7"/>
    <w:rsid w:val="00AA5C32"/>
    <w:rsid w:val="00BC0C59"/>
    <w:rsid w:val="00BE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4980"/>
  <w15:chartTrackingRefBased/>
  <w15:docId w15:val="{DE7DD970-2770-49F3-B319-F64A6F7C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4BF"/>
    <w:rPr>
      <w:rFonts w:eastAsiaTheme="majorEastAsia" w:cstheme="majorBidi"/>
      <w:color w:val="272727" w:themeColor="text1" w:themeTint="D8"/>
    </w:rPr>
  </w:style>
  <w:style w:type="paragraph" w:styleId="Title">
    <w:name w:val="Title"/>
    <w:basedOn w:val="Normal"/>
    <w:next w:val="Normal"/>
    <w:link w:val="TitleChar"/>
    <w:uiPriority w:val="10"/>
    <w:qFormat/>
    <w:rsid w:val="006F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4BF"/>
    <w:pPr>
      <w:spacing w:before="160"/>
      <w:jc w:val="center"/>
    </w:pPr>
    <w:rPr>
      <w:i/>
      <w:iCs/>
      <w:color w:val="404040" w:themeColor="text1" w:themeTint="BF"/>
    </w:rPr>
  </w:style>
  <w:style w:type="character" w:customStyle="1" w:styleId="QuoteChar">
    <w:name w:val="Quote Char"/>
    <w:basedOn w:val="DefaultParagraphFont"/>
    <w:link w:val="Quote"/>
    <w:uiPriority w:val="29"/>
    <w:rsid w:val="006F34BF"/>
    <w:rPr>
      <w:i/>
      <w:iCs/>
      <w:color w:val="404040" w:themeColor="text1" w:themeTint="BF"/>
    </w:rPr>
  </w:style>
  <w:style w:type="paragraph" w:styleId="ListParagraph">
    <w:name w:val="List Paragraph"/>
    <w:basedOn w:val="Normal"/>
    <w:uiPriority w:val="34"/>
    <w:qFormat/>
    <w:rsid w:val="006F34BF"/>
    <w:pPr>
      <w:ind w:left="720"/>
      <w:contextualSpacing/>
    </w:pPr>
  </w:style>
  <w:style w:type="character" w:styleId="IntenseEmphasis">
    <w:name w:val="Intense Emphasis"/>
    <w:basedOn w:val="DefaultParagraphFont"/>
    <w:uiPriority w:val="21"/>
    <w:qFormat/>
    <w:rsid w:val="006F34BF"/>
    <w:rPr>
      <w:i/>
      <w:iCs/>
      <w:color w:val="0F4761" w:themeColor="accent1" w:themeShade="BF"/>
    </w:rPr>
  </w:style>
  <w:style w:type="paragraph" w:styleId="IntenseQuote">
    <w:name w:val="Intense Quote"/>
    <w:basedOn w:val="Normal"/>
    <w:next w:val="Normal"/>
    <w:link w:val="IntenseQuoteChar"/>
    <w:uiPriority w:val="30"/>
    <w:qFormat/>
    <w:rsid w:val="006F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4BF"/>
    <w:rPr>
      <w:i/>
      <w:iCs/>
      <w:color w:val="0F4761" w:themeColor="accent1" w:themeShade="BF"/>
    </w:rPr>
  </w:style>
  <w:style w:type="character" w:styleId="IntenseReference">
    <w:name w:val="Intense Reference"/>
    <w:basedOn w:val="DefaultParagraphFont"/>
    <w:uiPriority w:val="32"/>
    <w:qFormat/>
    <w:rsid w:val="006F34BF"/>
    <w:rPr>
      <w:b/>
      <w:bCs/>
      <w:smallCaps/>
      <w:color w:val="0F4761" w:themeColor="accent1" w:themeShade="BF"/>
      <w:spacing w:val="5"/>
    </w:rPr>
  </w:style>
  <w:style w:type="character" w:styleId="Hyperlink">
    <w:name w:val="Hyperlink"/>
    <w:basedOn w:val="DefaultParagraphFont"/>
    <w:uiPriority w:val="99"/>
    <w:unhideWhenUsed/>
    <w:rsid w:val="00212A94"/>
    <w:rPr>
      <w:color w:val="467886" w:themeColor="hyperlink"/>
      <w:u w:val="single"/>
    </w:rPr>
  </w:style>
  <w:style w:type="character" w:styleId="UnresolvedMention">
    <w:name w:val="Unresolved Mention"/>
    <w:basedOn w:val="DefaultParagraphFont"/>
    <w:uiPriority w:val="99"/>
    <w:semiHidden/>
    <w:unhideWhenUsed/>
    <w:rsid w:val="00212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6028/NIST.SP.800-207" TargetMode="External"/><Relationship Id="rId4"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Samuel</dc:creator>
  <cp:keywords/>
  <dc:description/>
  <cp:lastModifiedBy>Black, Samuel</cp:lastModifiedBy>
  <cp:revision>2</cp:revision>
  <dcterms:created xsi:type="dcterms:W3CDTF">2026-04-26T18:30:00Z</dcterms:created>
  <dcterms:modified xsi:type="dcterms:W3CDTF">2026-04-26T18:34:00Z</dcterms:modified>
</cp:coreProperties>
</file>