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FE30B34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138D541D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FE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9C54AA">
        <w:rPr>
          <w:rFonts w:asciiTheme="minorHAnsi" w:hAnsiTheme="minorHAnsi" w:cstheme="minorHAnsi"/>
          <w:b/>
          <w:bCs/>
          <w:sz w:val="72"/>
          <w:szCs w:val="72"/>
        </w:rPr>
        <w:t>32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9C54AA">
        <w:rPr>
          <w:rFonts w:asciiTheme="minorHAnsi" w:hAnsiTheme="minorHAnsi" w:cstheme="minorHAnsi"/>
          <w:b/>
          <w:bCs/>
          <w:sz w:val="72"/>
          <w:szCs w:val="72"/>
        </w:rPr>
        <w:t>06</w:t>
      </w:r>
    </w:p>
    <w:p w14:paraId="3C8308A7" w14:textId="48E8213C" w:rsidR="00EB5DCF" w:rsidRDefault="00EB5DCF"/>
    <w:p w14:paraId="1E06E845" w14:textId="1C02F582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30DC1EFB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20F53EB8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7D7AA37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45EE3ED9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43F164A1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0268B8C4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26A21292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597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597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597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7999B4F5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0B052065" w:rsidR="00557E11" w:rsidRPr="006D0217" w:rsidRDefault="0005526A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895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4A69540E" w:rsidR="00557E11" w:rsidRPr="006D0217" w:rsidRDefault="00890083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D909A2">
              <w:rPr>
                <w:rFonts w:ascii="Arial" w:hAnsi="Arial" w:cs="Arial"/>
                <w:sz w:val="22"/>
                <w:szCs w:val="22"/>
                <w:lang w:val="es-419"/>
              </w:rPr>
              <w:t xml:space="preserve"> ½”</w:t>
            </w:r>
          </w:p>
        </w:tc>
      </w:tr>
    </w:tbl>
    <w:p w14:paraId="2D66BD71" w14:textId="7DCFCFBC" w:rsidR="006D0217" w:rsidRDefault="0005526A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28C032A6" wp14:editId="6A97029C">
            <wp:simplePos x="0" y="0"/>
            <wp:positionH relativeFrom="column">
              <wp:posOffset>627380</wp:posOffset>
            </wp:positionH>
            <wp:positionV relativeFrom="paragraph">
              <wp:posOffset>152238</wp:posOffset>
            </wp:positionV>
            <wp:extent cx="3060700" cy="3239770"/>
            <wp:effectExtent l="0" t="0" r="6350" b="17780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488EB7A-C045-4FAE-BD9F-93764AC035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321"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021632B7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5E0B97EA" w:rsidR="00DD5D48" w:rsidRDefault="00DD5D48" w:rsidP="00EB5DCF">
      <w:pPr>
        <w:rPr>
          <w:vertAlign w:val="superscript"/>
          <w:lang w:val="es-419"/>
        </w:rPr>
      </w:pPr>
    </w:p>
    <w:p w14:paraId="7388917D" w14:textId="7F9032CB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800"/>
        <w:gridCol w:w="800"/>
        <w:gridCol w:w="120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5526A" w:rsidRPr="0005526A" w14:paraId="74D4FBED" w14:textId="77777777" w:rsidTr="0005526A">
        <w:trPr>
          <w:trHeight w:val="375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46EB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C6F07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283A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FF3E4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3BDB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2C15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EE47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1307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4C956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C142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ED2B8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6E390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  <w:tr w:rsidR="0005526A" w:rsidRPr="0005526A" w14:paraId="1B7D4778" w14:textId="77777777" w:rsidTr="0005526A">
        <w:trPr>
          <w:trHeight w:val="375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1B39A" w14:textId="77777777" w:rsidR="0005526A" w:rsidRPr="0005526A" w:rsidRDefault="0005526A" w:rsidP="0005526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3E233" w14:textId="77777777" w:rsidR="0005526A" w:rsidRPr="0005526A" w:rsidRDefault="0005526A" w:rsidP="0005526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B4C3" w14:textId="77777777" w:rsidR="0005526A" w:rsidRPr="0005526A" w:rsidRDefault="0005526A" w:rsidP="0005526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8EF4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190F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B15F1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6896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A1883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B2126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7430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D36EB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0BB45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667</w:t>
            </w:r>
          </w:p>
        </w:tc>
      </w:tr>
      <w:tr w:rsidR="0005526A" w:rsidRPr="0005526A" w14:paraId="5EE8D894" w14:textId="77777777" w:rsidTr="0005526A">
        <w:trPr>
          <w:trHeight w:val="375"/>
        </w:trPr>
        <w:tc>
          <w:tcPr>
            <w:tcW w:w="18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02B94BF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R150-FE-32-06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2F6282D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86FF016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95A3623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4DBB4C2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BB23A5D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57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F75CAFE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4F93783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D349C5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FC1F8B6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F6F3868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D3C2E7" w14:textId="77777777" w:rsidR="0005526A" w:rsidRPr="0005526A" w:rsidRDefault="0005526A" w:rsidP="0005526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526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</w:tr>
    </w:tbl>
    <w:p w14:paraId="33EB449C" w14:textId="2A8B6DB8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A3DC" w14:textId="77777777" w:rsidR="00593AB8" w:rsidRDefault="00593AB8" w:rsidP="008A3980">
      <w:r>
        <w:separator/>
      </w:r>
    </w:p>
  </w:endnote>
  <w:endnote w:type="continuationSeparator" w:id="0">
    <w:p w14:paraId="72C9ED48" w14:textId="77777777" w:rsidR="00593AB8" w:rsidRDefault="00593AB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3F7D" w14:textId="77777777" w:rsidR="00593AB8" w:rsidRDefault="00593AB8" w:rsidP="008A3980">
      <w:r>
        <w:separator/>
      </w:r>
    </w:p>
  </w:footnote>
  <w:footnote w:type="continuationSeparator" w:id="0">
    <w:p w14:paraId="17077118" w14:textId="77777777" w:rsidR="00593AB8" w:rsidRDefault="00593AB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5526A"/>
    <w:rsid w:val="000559F3"/>
    <w:rsid w:val="00063ED6"/>
    <w:rsid w:val="000A4B96"/>
    <w:rsid w:val="000A4CBB"/>
    <w:rsid w:val="000D4623"/>
    <w:rsid w:val="00131E71"/>
    <w:rsid w:val="001428E9"/>
    <w:rsid w:val="00144321"/>
    <w:rsid w:val="00157C83"/>
    <w:rsid w:val="00195B26"/>
    <w:rsid w:val="001E6D2E"/>
    <w:rsid w:val="001E78AD"/>
    <w:rsid w:val="001F685E"/>
    <w:rsid w:val="001F719B"/>
    <w:rsid w:val="002068DD"/>
    <w:rsid w:val="00253153"/>
    <w:rsid w:val="00273813"/>
    <w:rsid w:val="002870ED"/>
    <w:rsid w:val="002D09B0"/>
    <w:rsid w:val="002E1480"/>
    <w:rsid w:val="002E7F0F"/>
    <w:rsid w:val="00316AE6"/>
    <w:rsid w:val="003938BD"/>
    <w:rsid w:val="003B301B"/>
    <w:rsid w:val="003C0BC9"/>
    <w:rsid w:val="003C552A"/>
    <w:rsid w:val="003D6066"/>
    <w:rsid w:val="003E2FB6"/>
    <w:rsid w:val="00417A91"/>
    <w:rsid w:val="00433213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7E11"/>
    <w:rsid w:val="005816BC"/>
    <w:rsid w:val="0059108C"/>
    <w:rsid w:val="00591286"/>
    <w:rsid w:val="00593AB8"/>
    <w:rsid w:val="005960B5"/>
    <w:rsid w:val="00597AAA"/>
    <w:rsid w:val="005B4338"/>
    <w:rsid w:val="005B5378"/>
    <w:rsid w:val="005C4DF4"/>
    <w:rsid w:val="005E4450"/>
    <w:rsid w:val="00606569"/>
    <w:rsid w:val="006248B3"/>
    <w:rsid w:val="0062557D"/>
    <w:rsid w:val="0063412C"/>
    <w:rsid w:val="006736DE"/>
    <w:rsid w:val="006D0217"/>
    <w:rsid w:val="006E3E09"/>
    <w:rsid w:val="00735CF8"/>
    <w:rsid w:val="00750244"/>
    <w:rsid w:val="00754D13"/>
    <w:rsid w:val="00780CA7"/>
    <w:rsid w:val="007B630C"/>
    <w:rsid w:val="007E4557"/>
    <w:rsid w:val="008319BA"/>
    <w:rsid w:val="00832239"/>
    <w:rsid w:val="00871327"/>
    <w:rsid w:val="00874BC1"/>
    <w:rsid w:val="00890083"/>
    <w:rsid w:val="008A3980"/>
    <w:rsid w:val="008D0828"/>
    <w:rsid w:val="008D57AB"/>
    <w:rsid w:val="008F4310"/>
    <w:rsid w:val="008F5336"/>
    <w:rsid w:val="00934F39"/>
    <w:rsid w:val="009A11F8"/>
    <w:rsid w:val="009C54AA"/>
    <w:rsid w:val="009D2914"/>
    <w:rsid w:val="00A72231"/>
    <w:rsid w:val="00A86F6C"/>
    <w:rsid w:val="00AB281F"/>
    <w:rsid w:val="00AD5EDC"/>
    <w:rsid w:val="00AD6AC6"/>
    <w:rsid w:val="00AF546C"/>
    <w:rsid w:val="00B02B1A"/>
    <w:rsid w:val="00B06C7F"/>
    <w:rsid w:val="00B163B0"/>
    <w:rsid w:val="00B43683"/>
    <w:rsid w:val="00B95558"/>
    <w:rsid w:val="00BA5740"/>
    <w:rsid w:val="00BB3C5D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3932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8283B"/>
    <w:rsid w:val="00F90336"/>
    <w:rsid w:val="00F92087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Hoja1!$E$1:$L$1</c:f>
              <c:numCache>
                <c:formatCode>0</c:formatCode>
                <c:ptCount val="8"/>
                <c:pt idx="0">
                  <c:v>0</c:v>
                </c:pt>
                <c:pt idx="1">
                  <c:v>15</c:v>
                </c:pt>
                <c:pt idx="2">
                  <c:v>19.98</c:v>
                </c:pt>
                <c:pt idx="3">
                  <c:v>25.02</c:v>
                </c:pt>
                <c:pt idx="4">
                  <c:v>30</c:v>
                </c:pt>
                <c:pt idx="5">
                  <c:v>33</c:v>
                </c:pt>
                <c:pt idx="6">
                  <c:v>34.979999999999997</c:v>
                </c:pt>
                <c:pt idx="7">
                  <c:v>40.020000000000003</c:v>
                </c:pt>
              </c:numCache>
            </c:numRef>
          </c:xVal>
          <c:yVal>
            <c:numRef>
              <c:f>Hoja1!$E$3:$L$3</c:f>
              <c:numCache>
                <c:formatCode>General</c:formatCode>
                <c:ptCount val="8"/>
                <c:pt idx="0">
                  <c:v>72</c:v>
                </c:pt>
                <c:pt idx="1">
                  <c:v>57</c:v>
                </c:pt>
                <c:pt idx="2">
                  <c:v>50</c:v>
                </c:pt>
                <c:pt idx="3">
                  <c:v>43</c:v>
                </c:pt>
                <c:pt idx="4">
                  <c:v>34</c:v>
                </c:pt>
                <c:pt idx="5">
                  <c:v>27</c:v>
                </c:pt>
                <c:pt idx="6">
                  <c:v>23</c:v>
                </c:pt>
                <c:pt idx="7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13-4D6D-8C89-5768F579B6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2023-05-18T18:17:00Z</cp:lastPrinted>
  <dcterms:created xsi:type="dcterms:W3CDTF">2023-05-18T18:54:00Z</dcterms:created>
  <dcterms:modified xsi:type="dcterms:W3CDTF">2023-05-18T19:00:00Z</dcterms:modified>
</cp:coreProperties>
</file>