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charts/chart3.xml" ContentType="application/vnd.openxmlformats-officedocument.drawingml.chart+xml"/>
  <Override PartName="/word/charts/style3.xml" ContentType="application/vnd.ms-office.chartstyle+xml"/>
  <Override PartName="/word/charts/colors3.xml" ContentType="application/vnd.ms-office.chartcolorstyle+xml"/>
  <Override PartName="/word/charts/chart4.xml" ContentType="application/vnd.openxmlformats-officedocument.drawingml.chart+xml"/>
  <Override PartName="/word/charts/style4.xml" ContentType="application/vnd.ms-office.chartstyle+xml"/>
  <Override PartName="/word/charts/colors4.xml" ContentType="application/vnd.ms-office.chartcolorsty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0B6607" w14:textId="416118E8" w:rsidR="00580706" w:rsidRPr="00960177" w:rsidRDefault="00A93829">
      <w:pPr>
        <w:rPr>
          <w:rFonts w:ascii="Calibri" w:hAnsi="Calibri" w:cs="Calibri"/>
          <w:b/>
          <w:bCs/>
        </w:rPr>
      </w:pPr>
      <w:bookmarkStart w:id="0" w:name="_Hlk212202596"/>
      <w:bookmarkEnd w:id="0"/>
      <w:r w:rsidRPr="00960177">
        <w:rPr>
          <w:rFonts w:ascii="Calibri" w:hAnsi="Calibri" w:cs="Calibri"/>
          <w:b/>
          <w:bCs/>
        </w:rPr>
        <w:t xml:space="preserve">General </w:t>
      </w:r>
      <w:r w:rsidR="00580706" w:rsidRPr="00960177">
        <w:rPr>
          <w:rFonts w:ascii="Calibri" w:hAnsi="Calibri" w:cs="Calibri"/>
          <w:b/>
          <w:bCs/>
        </w:rPr>
        <w:t>Monthly Summary</w:t>
      </w:r>
    </w:p>
    <w:p w14:paraId="70A621E2" w14:textId="52C04A28" w:rsidR="006163B7" w:rsidRPr="00960177" w:rsidRDefault="001C06CF" w:rsidP="006163B7">
      <w:pPr>
        <w:pStyle w:val="FirstParagraph"/>
        <w:rPr>
          <w:rFonts w:ascii="Calibri" w:hAnsi="Calibri" w:cs="Calibri"/>
        </w:rPr>
      </w:pPr>
      <w:r w:rsidRPr="00960177">
        <w:rPr>
          <w:rFonts w:ascii="Calibri" w:hAnsi="Calibri" w:cs="Calibri"/>
          <w:noProof/>
        </w:rPr>
        <w:drawing>
          <wp:anchor distT="0" distB="0" distL="114300" distR="114300" simplePos="0" relativeHeight="251662336" behindDoc="1" locked="0" layoutInCell="1" allowOverlap="1" wp14:anchorId="76E2CAA8" wp14:editId="247DD6B8">
            <wp:simplePos x="0" y="0"/>
            <wp:positionH relativeFrom="column">
              <wp:posOffset>2895600</wp:posOffset>
            </wp:positionH>
            <wp:positionV relativeFrom="paragraph">
              <wp:posOffset>22225</wp:posOffset>
            </wp:positionV>
            <wp:extent cx="3038475" cy="2695575"/>
            <wp:effectExtent l="0" t="0" r="0" b="0"/>
            <wp:wrapSquare wrapText="bothSides"/>
            <wp:docPr id="223973004" name="Chart 2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7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903BA" w:rsidRPr="00960177">
        <w:rPr>
          <w:rFonts w:ascii="Calibri" w:hAnsi="Calibri" w:cs="Calibri"/>
        </w:rPr>
        <w:t xml:space="preserve">Overall data </w:t>
      </w:r>
      <w:r w:rsidR="009621B4" w:rsidRPr="00960177">
        <w:rPr>
          <w:rFonts w:ascii="Calibri" w:hAnsi="Calibri" w:cs="Calibri"/>
        </w:rPr>
        <w:t xml:space="preserve">completeness for </w:t>
      </w:r>
      <w:r w:rsidR="0004217C">
        <w:rPr>
          <w:rFonts w:ascii="Calibri" w:hAnsi="Calibri" w:cs="Calibri"/>
        </w:rPr>
        <w:t>December</w:t>
      </w:r>
      <w:r w:rsidR="009621B4" w:rsidRPr="00960177">
        <w:rPr>
          <w:rFonts w:ascii="Calibri" w:hAnsi="Calibri" w:cs="Calibri"/>
        </w:rPr>
        <w:t xml:space="preserve"> was </w:t>
      </w:r>
      <w:r w:rsidR="0004217C">
        <w:rPr>
          <w:rFonts w:ascii="Calibri" w:hAnsi="Calibri" w:cs="Calibri"/>
        </w:rPr>
        <w:t>99.2</w:t>
      </w:r>
      <w:r w:rsidR="009621B4" w:rsidRPr="00960177">
        <w:rPr>
          <w:rFonts w:ascii="Calibri" w:hAnsi="Calibri" w:cs="Calibri"/>
        </w:rPr>
        <w:t>%</w:t>
      </w:r>
      <w:r w:rsidR="00D903BA" w:rsidRPr="00960177">
        <w:rPr>
          <w:rFonts w:ascii="Calibri" w:hAnsi="Calibri" w:cs="Calibri"/>
        </w:rPr>
        <w:t>.</w:t>
      </w:r>
      <w:r w:rsidR="0003060A" w:rsidRPr="00960177">
        <w:rPr>
          <w:rFonts w:ascii="Calibri" w:hAnsi="Calibri" w:cs="Calibri"/>
        </w:rPr>
        <w:t xml:space="preserve"> </w:t>
      </w:r>
      <w:r w:rsidR="0004217C">
        <w:rPr>
          <w:rFonts w:ascii="Calibri" w:hAnsi="Calibri" w:cs="Calibri"/>
        </w:rPr>
        <w:t>The T17 trap was replaced November 28, which caused an unusual baseline disturbance</w:t>
      </w:r>
      <w:r w:rsidR="00980058">
        <w:rPr>
          <w:rFonts w:ascii="Calibri" w:hAnsi="Calibri" w:cs="Calibri"/>
        </w:rPr>
        <w:t>,</w:t>
      </w:r>
      <w:r w:rsidR="0004217C">
        <w:rPr>
          <w:rFonts w:ascii="Calibri" w:hAnsi="Calibri" w:cs="Calibri"/>
        </w:rPr>
        <w:t xml:space="preserve"> distort</w:t>
      </w:r>
      <w:r w:rsidR="00980058">
        <w:rPr>
          <w:rFonts w:ascii="Calibri" w:hAnsi="Calibri" w:cs="Calibri"/>
        </w:rPr>
        <w:t>ing</w:t>
      </w:r>
      <w:r w:rsidR="0004217C">
        <w:rPr>
          <w:rFonts w:ascii="Calibri" w:hAnsi="Calibri" w:cs="Calibri"/>
        </w:rPr>
        <w:t xml:space="preserve"> the </w:t>
      </w:r>
      <w:proofErr w:type="spellStart"/>
      <w:r w:rsidR="0004217C">
        <w:rPr>
          <w:rFonts w:ascii="Calibri" w:hAnsi="Calibri" w:cs="Calibri"/>
        </w:rPr>
        <w:t>m</w:t>
      </w:r>
      <w:r w:rsidR="0004217C" w:rsidRPr="0004217C">
        <w:rPr>
          <w:rFonts w:ascii="Calibri" w:hAnsi="Calibri" w:cs="Calibri"/>
        </w:rPr>
        <w:t>ethylcyclopentane</w:t>
      </w:r>
      <w:proofErr w:type="spellEnd"/>
      <w:r w:rsidR="0004217C">
        <w:rPr>
          <w:rFonts w:ascii="Calibri" w:hAnsi="Calibri" w:cs="Calibri"/>
        </w:rPr>
        <w:t xml:space="preserve"> and</w:t>
      </w:r>
      <w:r w:rsidR="0004217C" w:rsidRPr="0004217C">
        <w:rPr>
          <w:rFonts w:ascii="Calibri" w:hAnsi="Calibri" w:cs="Calibri"/>
        </w:rPr>
        <w:t xml:space="preserve"> 2,4-dimethylpentane</w:t>
      </w:r>
      <w:r w:rsidR="0004217C">
        <w:rPr>
          <w:rFonts w:ascii="Calibri" w:hAnsi="Calibri" w:cs="Calibri"/>
        </w:rPr>
        <w:t xml:space="preserve"> peaks. This disturbance persisted through December 8. A calibration was performed December 1. The </w:t>
      </w:r>
      <w:r w:rsidR="00980058">
        <w:rPr>
          <w:rFonts w:ascii="Calibri" w:hAnsi="Calibri" w:cs="Calibri"/>
        </w:rPr>
        <w:t xml:space="preserve">new </w:t>
      </w:r>
      <w:r w:rsidR="0004217C">
        <w:rPr>
          <w:rFonts w:ascii="Calibri" w:hAnsi="Calibri" w:cs="Calibri"/>
        </w:rPr>
        <w:t xml:space="preserve">PLOT column RF </w:t>
      </w:r>
      <w:r w:rsidR="00980058">
        <w:rPr>
          <w:rFonts w:ascii="Calibri" w:hAnsi="Calibri" w:cs="Calibri"/>
        </w:rPr>
        <w:t>differed by</w:t>
      </w:r>
      <w:r w:rsidR="0004217C">
        <w:rPr>
          <w:rFonts w:ascii="Calibri" w:hAnsi="Calibri" w:cs="Calibri"/>
        </w:rPr>
        <w:t xml:space="preserve"> 16.8% </w:t>
      </w:r>
      <w:r w:rsidR="00980058">
        <w:rPr>
          <w:rFonts w:ascii="Calibri" w:hAnsi="Calibri" w:cs="Calibri"/>
        </w:rPr>
        <w:t xml:space="preserve">from the previous RF. The new BP column RF differed by 13.6% from the previous RF. </w:t>
      </w:r>
      <w:r w:rsidR="0004217C">
        <w:rPr>
          <w:rFonts w:ascii="Calibri" w:hAnsi="Calibri" w:cs="Calibri"/>
        </w:rPr>
        <w:t xml:space="preserve">Four ambient hours were nulled because </w:t>
      </w:r>
      <w:r w:rsidR="001A5D5A">
        <w:rPr>
          <w:rFonts w:ascii="Calibri" w:hAnsi="Calibri" w:cs="Calibri"/>
        </w:rPr>
        <w:t>data was missing. One ambient hour was nulled because of aberrant chromatography.</w:t>
      </w:r>
    </w:p>
    <w:p w14:paraId="401A10D4" w14:textId="20CBD380" w:rsidR="00580706" w:rsidRPr="00960177" w:rsidRDefault="00C95BD2">
      <w:pPr>
        <w:rPr>
          <w:rFonts w:ascii="Calibri" w:hAnsi="Calibri" w:cs="Calibri"/>
          <w:b/>
          <w:bCs/>
        </w:rPr>
      </w:pPr>
      <w:r w:rsidRPr="00960177">
        <w:rPr>
          <w:rFonts w:ascii="Calibri" w:hAnsi="Calibri" w:cs="Calibri"/>
          <w:b/>
          <w:bCs/>
        </w:rPr>
        <w:t xml:space="preserve">Data </w:t>
      </w:r>
      <w:r w:rsidR="00580706" w:rsidRPr="00960177">
        <w:rPr>
          <w:rFonts w:ascii="Calibri" w:hAnsi="Calibri" w:cs="Calibri"/>
          <w:b/>
          <w:bCs/>
        </w:rPr>
        <w:t>Qualification Summary</w:t>
      </w:r>
    </w:p>
    <w:p w14:paraId="34EB3FDA" w14:textId="5C1F2E6F" w:rsidR="00580706" w:rsidRPr="00960177" w:rsidRDefault="00952A2A">
      <w:pPr>
        <w:rPr>
          <w:rFonts w:ascii="Calibri" w:hAnsi="Calibri" w:cs="Calibri"/>
        </w:rPr>
      </w:pPr>
      <w:r w:rsidRPr="00960177">
        <w:rPr>
          <w:rFonts w:ascii="Calibri" w:hAnsi="Calibri" w:cs="Calibri"/>
          <w:b/>
          <w:bCs/>
          <w:noProof/>
        </w:rPr>
        <w:drawing>
          <wp:anchor distT="0" distB="0" distL="114300" distR="114300" simplePos="0" relativeHeight="251664384" behindDoc="1" locked="0" layoutInCell="1" allowOverlap="1" wp14:anchorId="26C35853" wp14:editId="1BF29852">
            <wp:simplePos x="0" y="0"/>
            <wp:positionH relativeFrom="margin">
              <wp:align>right</wp:align>
            </wp:positionH>
            <wp:positionV relativeFrom="paragraph">
              <wp:posOffset>1125855</wp:posOffset>
            </wp:positionV>
            <wp:extent cx="2981325" cy="3381375"/>
            <wp:effectExtent l="0" t="0" r="0" b="0"/>
            <wp:wrapTight wrapText="bothSides">
              <wp:wrapPolygon edited="0">
                <wp:start x="0" y="0"/>
                <wp:lineTo x="0" y="21417"/>
                <wp:lineTo x="21393" y="21417"/>
                <wp:lineTo x="21393" y="0"/>
                <wp:lineTo x="0" y="0"/>
              </wp:wrapPolygon>
            </wp:wrapTight>
            <wp:docPr id="382222252" name="Chart 3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8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3060A" w:rsidRPr="00960177">
        <w:rPr>
          <w:rFonts w:ascii="Calibri" w:hAnsi="Calibri" w:cs="Calibri"/>
        </w:rPr>
        <w:t xml:space="preserve">Acetylene </w:t>
      </w:r>
      <w:r w:rsidR="001679E4" w:rsidRPr="00960177">
        <w:rPr>
          <w:rFonts w:ascii="Calibri" w:hAnsi="Calibri" w:cs="Calibri"/>
        </w:rPr>
        <w:t>and p-</w:t>
      </w:r>
      <w:proofErr w:type="spellStart"/>
      <w:r w:rsidR="001679E4" w:rsidRPr="00960177">
        <w:rPr>
          <w:rFonts w:ascii="Calibri" w:hAnsi="Calibri" w:cs="Calibri"/>
        </w:rPr>
        <w:t>diethylbenzene</w:t>
      </w:r>
      <w:proofErr w:type="spellEnd"/>
      <w:r w:rsidR="001679E4" w:rsidRPr="00960177">
        <w:rPr>
          <w:rFonts w:ascii="Calibri" w:hAnsi="Calibri" w:cs="Calibri"/>
        </w:rPr>
        <w:t xml:space="preserve"> </w:t>
      </w:r>
      <w:r w:rsidR="0003060A" w:rsidRPr="00960177">
        <w:rPr>
          <w:rFonts w:ascii="Calibri" w:hAnsi="Calibri" w:cs="Calibri"/>
        </w:rPr>
        <w:t>w</w:t>
      </w:r>
      <w:r w:rsidR="001679E4" w:rsidRPr="00960177">
        <w:rPr>
          <w:rFonts w:ascii="Calibri" w:hAnsi="Calibri" w:cs="Calibri"/>
        </w:rPr>
        <w:t>ere</w:t>
      </w:r>
      <w:r w:rsidR="0003060A" w:rsidRPr="00960177">
        <w:rPr>
          <w:rFonts w:ascii="Calibri" w:hAnsi="Calibri" w:cs="Calibri"/>
        </w:rPr>
        <w:t xml:space="preserve"> qualified with QX (Does not Meet QC Criteria) for the entire month</w:t>
      </w:r>
      <w:r w:rsidR="00340448" w:rsidRPr="00960177">
        <w:rPr>
          <w:rFonts w:ascii="Calibri" w:hAnsi="Calibri" w:cs="Calibri"/>
        </w:rPr>
        <w:t xml:space="preserve"> </w:t>
      </w:r>
      <w:r w:rsidR="0003060A" w:rsidRPr="00960177">
        <w:rPr>
          <w:rFonts w:ascii="Calibri" w:hAnsi="Calibri" w:cs="Calibri"/>
        </w:rPr>
        <w:t xml:space="preserve">due to </w:t>
      </w:r>
      <w:r w:rsidR="00340448" w:rsidRPr="00960177">
        <w:rPr>
          <w:rFonts w:ascii="Calibri" w:hAnsi="Calibri" w:cs="Calibri"/>
        </w:rPr>
        <w:t>failing</w:t>
      </w:r>
      <w:r w:rsidR="0003060A" w:rsidRPr="00960177">
        <w:rPr>
          <w:rFonts w:ascii="Calibri" w:hAnsi="Calibri" w:cs="Calibri"/>
        </w:rPr>
        <w:t xml:space="preserve"> CVS recoveries. N-</w:t>
      </w:r>
      <w:r w:rsidR="0024243C" w:rsidRPr="00960177">
        <w:rPr>
          <w:rFonts w:ascii="Calibri" w:hAnsi="Calibri" w:cs="Calibri"/>
        </w:rPr>
        <w:t>dodecane</w:t>
      </w:r>
      <w:r w:rsidR="00587B5F">
        <w:rPr>
          <w:rFonts w:ascii="Calibri" w:hAnsi="Calibri" w:cs="Calibri"/>
        </w:rPr>
        <w:t xml:space="preserve">, </w:t>
      </w:r>
      <w:r w:rsidR="001A5D5A">
        <w:rPr>
          <w:rFonts w:ascii="Calibri" w:hAnsi="Calibri" w:cs="Calibri"/>
        </w:rPr>
        <w:t>1-hexene</w:t>
      </w:r>
      <w:r w:rsidR="00587B5F">
        <w:rPr>
          <w:rFonts w:ascii="Calibri" w:hAnsi="Calibri" w:cs="Calibri"/>
        </w:rPr>
        <w:t xml:space="preserve"> and isoprene</w:t>
      </w:r>
      <w:r w:rsidR="001A5D5A">
        <w:rPr>
          <w:rFonts w:ascii="Calibri" w:hAnsi="Calibri" w:cs="Calibri"/>
        </w:rPr>
        <w:t xml:space="preserve"> </w:t>
      </w:r>
      <w:r w:rsidR="0003060A" w:rsidRPr="00960177">
        <w:rPr>
          <w:rFonts w:ascii="Calibri" w:hAnsi="Calibri" w:cs="Calibri"/>
        </w:rPr>
        <w:t xml:space="preserve">were qualified with LJ for the entire month due </w:t>
      </w:r>
      <w:r w:rsidR="00980058">
        <w:rPr>
          <w:rFonts w:ascii="Calibri" w:hAnsi="Calibri" w:cs="Calibri"/>
        </w:rPr>
        <w:t xml:space="preserve">to </w:t>
      </w:r>
      <w:r w:rsidR="001679E4" w:rsidRPr="00960177">
        <w:rPr>
          <w:rFonts w:ascii="Calibri" w:hAnsi="Calibri" w:cs="Calibri"/>
        </w:rPr>
        <w:t xml:space="preserve">poor precision </w:t>
      </w:r>
      <w:r w:rsidR="0003060A" w:rsidRPr="00960177">
        <w:rPr>
          <w:rFonts w:ascii="Calibri" w:hAnsi="Calibri" w:cs="Calibri"/>
        </w:rPr>
        <w:t xml:space="preserve">for the heaviest compounds in the BP column. 2-methyl-1-pentene, alpha-pinene, and beta-pinene were qualified with LJ </w:t>
      </w:r>
      <w:r w:rsidR="00C74C00" w:rsidRPr="00960177">
        <w:rPr>
          <w:rFonts w:ascii="Calibri" w:hAnsi="Calibri" w:cs="Calibri"/>
        </w:rPr>
        <w:t xml:space="preserve">because there </w:t>
      </w:r>
      <w:r w:rsidR="001A5D5A">
        <w:rPr>
          <w:rFonts w:ascii="Calibri" w:hAnsi="Calibri" w:cs="Calibri"/>
        </w:rPr>
        <w:t>was</w:t>
      </w:r>
      <w:r w:rsidR="001C53C1" w:rsidRPr="00960177">
        <w:rPr>
          <w:rFonts w:ascii="Calibri" w:hAnsi="Calibri" w:cs="Calibri"/>
        </w:rPr>
        <w:t xml:space="preserve"> </w:t>
      </w:r>
      <w:r w:rsidR="00C74C00" w:rsidRPr="00960177">
        <w:rPr>
          <w:rFonts w:ascii="Calibri" w:hAnsi="Calibri" w:cs="Calibri"/>
        </w:rPr>
        <w:t>no reference gas available.</w:t>
      </w:r>
      <w:r w:rsidR="00F37FBA">
        <w:rPr>
          <w:rFonts w:ascii="Calibri" w:hAnsi="Calibri" w:cs="Calibri"/>
        </w:rPr>
        <w:t xml:space="preserve"> </w:t>
      </w:r>
      <w:r w:rsidR="001A5D5A" w:rsidRPr="001A5D5A">
        <w:rPr>
          <w:rFonts w:ascii="Calibri" w:hAnsi="Calibri" w:cs="Calibri"/>
        </w:rPr>
        <w:t>2-methylpentane</w:t>
      </w:r>
      <w:r w:rsidR="001A5D5A">
        <w:rPr>
          <w:rFonts w:ascii="Calibri" w:hAnsi="Calibri" w:cs="Calibri"/>
        </w:rPr>
        <w:t xml:space="preserve"> was </w:t>
      </w:r>
      <w:r w:rsidR="00F37FBA">
        <w:rPr>
          <w:rFonts w:ascii="Calibri" w:hAnsi="Calibri" w:cs="Calibri"/>
        </w:rPr>
        <w:t xml:space="preserve">qualified LJ for the entire month because of persistent overlap from </w:t>
      </w:r>
      <w:r w:rsidR="001A5D5A">
        <w:rPr>
          <w:rFonts w:ascii="Calibri" w:hAnsi="Calibri" w:cs="Calibri"/>
        </w:rPr>
        <w:t xml:space="preserve">a </w:t>
      </w:r>
      <w:r w:rsidR="00F37FBA">
        <w:rPr>
          <w:rFonts w:ascii="Calibri" w:hAnsi="Calibri" w:cs="Calibri"/>
        </w:rPr>
        <w:t xml:space="preserve">contaminant peak. </w:t>
      </w:r>
      <w:r w:rsidR="001A5D5A" w:rsidRPr="001A5D5A">
        <w:rPr>
          <w:rFonts w:ascii="Calibri" w:hAnsi="Calibri" w:cs="Calibri"/>
        </w:rPr>
        <w:t>m-</w:t>
      </w:r>
      <w:proofErr w:type="spellStart"/>
      <w:r w:rsidR="001A5D5A" w:rsidRPr="001A5D5A">
        <w:rPr>
          <w:rFonts w:ascii="Calibri" w:hAnsi="Calibri" w:cs="Calibri"/>
        </w:rPr>
        <w:t>Diethylbenzene</w:t>
      </w:r>
      <w:proofErr w:type="spellEnd"/>
      <w:r w:rsidR="001A5D5A">
        <w:rPr>
          <w:rFonts w:ascii="Calibri" w:hAnsi="Calibri" w:cs="Calibri"/>
        </w:rPr>
        <w:t xml:space="preserve"> and </w:t>
      </w:r>
      <w:r w:rsidR="001A5D5A" w:rsidRPr="001A5D5A">
        <w:rPr>
          <w:rFonts w:ascii="Calibri" w:hAnsi="Calibri" w:cs="Calibri"/>
        </w:rPr>
        <w:t>p-</w:t>
      </w:r>
      <w:proofErr w:type="spellStart"/>
      <w:r w:rsidR="001A5D5A">
        <w:rPr>
          <w:rFonts w:ascii="Calibri" w:hAnsi="Calibri" w:cs="Calibri"/>
        </w:rPr>
        <w:t>d</w:t>
      </w:r>
      <w:r w:rsidR="001A5D5A" w:rsidRPr="001A5D5A">
        <w:rPr>
          <w:rFonts w:ascii="Calibri" w:hAnsi="Calibri" w:cs="Calibri"/>
        </w:rPr>
        <w:t>iethylbenzene</w:t>
      </w:r>
      <w:proofErr w:type="spellEnd"/>
      <w:r w:rsidR="001A5D5A">
        <w:rPr>
          <w:rFonts w:ascii="Calibri" w:hAnsi="Calibri" w:cs="Calibri"/>
        </w:rPr>
        <w:t xml:space="preserve"> were qualified with flag LJ for the month due to uncertainty at low concentrations. </w:t>
      </w:r>
    </w:p>
    <w:p w14:paraId="75EF0590" w14:textId="4AFB7643" w:rsidR="00580706" w:rsidRPr="00960177" w:rsidRDefault="00C95BD2">
      <w:pPr>
        <w:rPr>
          <w:rFonts w:ascii="Calibri" w:hAnsi="Calibri" w:cs="Calibri"/>
          <w:b/>
          <w:bCs/>
        </w:rPr>
      </w:pPr>
      <w:r w:rsidRPr="00960177">
        <w:rPr>
          <w:rFonts w:ascii="Calibri" w:hAnsi="Calibri" w:cs="Calibri"/>
          <w:b/>
          <w:bCs/>
        </w:rPr>
        <w:t xml:space="preserve">Data </w:t>
      </w:r>
      <w:r w:rsidR="00580706" w:rsidRPr="00960177">
        <w:rPr>
          <w:rFonts w:ascii="Calibri" w:hAnsi="Calibri" w:cs="Calibri"/>
          <w:b/>
          <w:bCs/>
        </w:rPr>
        <w:t>Null Summary</w:t>
      </w:r>
    </w:p>
    <w:p w14:paraId="3D956AFC" w14:textId="408972FA" w:rsidR="0024243C" w:rsidRDefault="00CA6BD1">
      <w:pPr>
        <w:rPr>
          <w:rFonts w:ascii="Calibri" w:hAnsi="Calibri" w:cs="Calibri"/>
        </w:rPr>
      </w:pPr>
      <w:r w:rsidRPr="00960177">
        <w:rPr>
          <w:rFonts w:ascii="Calibri" w:hAnsi="Calibri" w:cs="Calibri"/>
        </w:rPr>
        <w:t>The following ambient hours had all analytes nulled</w:t>
      </w:r>
      <w:r w:rsidR="00A93829" w:rsidRPr="00960177">
        <w:rPr>
          <w:rFonts w:ascii="Calibri" w:hAnsi="Calibri" w:cs="Calibri"/>
        </w:rPr>
        <w:t xml:space="preserve">.  </w:t>
      </w:r>
      <w:r w:rsidR="001A5D5A">
        <w:rPr>
          <w:rFonts w:ascii="Calibri" w:hAnsi="Calibri" w:cs="Calibri"/>
        </w:rPr>
        <w:t>Four</w:t>
      </w:r>
      <w:r w:rsidR="00C12C50">
        <w:rPr>
          <w:rFonts w:ascii="Calibri" w:hAnsi="Calibri" w:cs="Calibri"/>
        </w:rPr>
        <w:t xml:space="preserve"> hours were nulled because </w:t>
      </w:r>
      <w:r w:rsidR="001A5D5A">
        <w:rPr>
          <w:rFonts w:ascii="Calibri" w:hAnsi="Calibri" w:cs="Calibri"/>
        </w:rPr>
        <w:t>no data was collected for an unknown reason (AM).</w:t>
      </w:r>
      <w:r w:rsidR="00C12C50">
        <w:rPr>
          <w:rFonts w:ascii="Calibri" w:hAnsi="Calibri" w:cs="Calibri"/>
        </w:rPr>
        <w:t xml:space="preserve"> </w:t>
      </w:r>
      <w:r w:rsidR="001A5D5A">
        <w:rPr>
          <w:rFonts w:ascii="Calibri" w:hAnsi="Calibri" w:cs="Calibri"/>
        </w:rPr>
        <w:t>One hour was nulled because of significant RT shifts and baseline noise (DA).</w:t>
      </w:r>
      <w:r w:rsidR="00C12C50">
        <w:rPr>
          <w:rFonts w:ascii="Calibri" w:hAnsi="Calibri" w:cs="Calibri"/>
        </w:rPr>
        <w:t xml:space="preserve"> </w:t>
      </w:r>
    </w:p>
    <w:p w14:paraId="07F47B56" w14:textId="740CB6FC" w:rsidR="001A5D5A" w:rsidRPr="00960177" w:rsidRDefault="001A5D5A">
      <w:pPr>
        <w:rPr>
          <w:rFonts w:ascii="Calibri" w:hAnsi="Calibri" w:cs="Calibri"/>
        </w:rPr>
      </w:pPr>
      <w:proofErr w:type="spellStart"/>
      <w:r w:rsidRPr="001A5D5A">
        <w:rPr>
          <w:rFonts w:ascii="Calibri" w:hAnsi="Calibri" w:cs="Calibri"/>
        </w:rPr>
        <w:t>Methylcyclopentane</w:t>
      </w:r>
      <w:proofErr w:type="spellEnd"/>
      <w:r>
        <w:rPr>
          <w:rFonts w:ascii="Calibri" w:hAnsi="Calibri" w:cs="Calibri"/>
        </w:rPr>
        <w:t xml:space="preserve"> and </w:t>
      </w:r>
      <w:r w:rsidRPr="001A5D5A">
        <w:rPr>
          <w:rFonts w:ascii="Calibri" w:hAnsi="Calibri" w:cs="Calibri"/>
        </w:rPr>
        <w:t>2,4-dimethylpentane</w:t>
      </w:r>
      <w:r>
        <w:rPr>
          <w:rFonts w:ascii="Calibri" w:hAnsi="Calibri" w:cs="Calibri"/>
        </w:rPr>
        <w:t xml:space="preserve"> were nulled with flag DA between December 1 and December 8 because of overlap with a baseline disturbance.</w:t>
      </w:r>
    </w:p>
    <w:p w14:paraId="1835DD85" w14:textId="064BEE64" w:rsidR="00C74C00" w:rsidRPr="00960177" w:rsidRDefault="00C74C00" w:rsidP="00340448">
      <w:pPr>
        <w:ind w:left="720"/>
        <w:rPr>
          <w:rFonts w:ascii="Calibri" w:hAnsi="Calibri" w:cs="Calibri"/>
        </w:rPr>
      </w:pPr>
    </w:p>
    <w:p w14:paraId="5FA184F4" w14:textId="74C4CB4F" w:rsidR="00580706" w:rsidRPr="00960177" w:rsidRDefault="00580706">
      <w:pPr>
        <w:rPr>
          <w:rFonts w:ascii="Calibri" w:hAnsi="Calibri" w:cs="Calibri"/>
          <w:b/>
          <w:bCs/>
        </w:rPr>
      </w:pPr>
      <w:r w:rsidRPr="00960177">
        <w:rPr>
          <w:rFonts w:ascii="Calibri" w:hAnsi="Calibri" w:cs="Calibri"/>
          <w:b/>
          <w:bCs/>
        </w:rPr>
        <w:t>QA Summary</w:t>
      </w:r>
    </w:p>
    <w:p w14:paraId="5350BCC6" w14:textId="10A32C73" w:rsidR="00A93829" w:rsidRPr="00960177" w:rsidRDefault="00A93829">
      <w:pPr>
        <w:rPr>
          <w:rFonts w:ascii="Calibri" w:hAnsi="Calibri" w:cs="Calibri"/>
          <w:b/>
          <w:bCs/>
        </w:rPr>
      </w:pPr>
      <w:r w:rsidRPr="00960177">
        <w:rPr>
          <w:rFonts w:ascii="Calibri" w:hAnsi="Calibri" w:cs="Calibri"/>
        </w:rPr>
        <w:tab/>
      </w:r>
      <w:r w:rsidRPr="00960177">
        <w:rPr>
          <w:rFonts w:ascii="Calibri" w:hAnsi="Calibri" w:cs="Calibri"/>
          <w:b/>
          <w:bCs/>
        </w:rPr>
        <w:t>Blank Response</w:t>
      </w:r>
    </w:p>
    <w:p w14:paraId="522173F2" w14:textId="1047D77F" w:rsidR="00A93829" w:rsidRPr="00960177" w:rsidRDefault="00A93829" w:rsidP="00A93829">
      <w:pPr>
        <w:ind w:left="1350" w:hanging="1350"/>
        <w:rPr>
          <w:rFonts w:ascii="Calibri" w:hAnsi="Calibri" w:cs="Calibri"/>
        </w:rPr>
      </w:pPr>
      <w:r w:rsidRPr="00960177">
        <w:rPr>
          <w:rFonts w:ascii="Calibri" w:hAnsi="Calibri" w:cs="Calibri"/>
        </w:rPr>
        <w:tab/>
      </w:r>
      <w:r w:rsidR="006E5A2D">
        <w:rPr>
          <w:rFonts w:ascii="Calibri" w:hAnsi="Calibri" w:cs="Calibri"/>
        </w:rPr>
        <w:t xml:space="preserve">Ethylene exceeded its MDL for the entire month and was above 0.5 </w:t>
      </w:r>
      <w:proofErr w:type="spellStart"/>
      <w:r w:rsidR="006E5A2D">
        <w:rPr>
          <w:rFonts w:ascii="Calibri" w:hAnsi="Calibri" w:cs="Calibri"/>
        </w:rPr>
        <w:t>ppbC</w:t>
      </w:r>
      <w:proofErr w:type="spellEnd"/>
      <w:r w:rsidR="006E5A2D">
        <w:rPr>
          <w:rFonts w:ascii="Calibri" w:hAnsi="Calibri" w:cs="Calibri"/>
        </w:rPr>
        <w:t xml:space="preserve"> in eight blanks between December 1 and December 6. Ethane exceeded its MDL periodically throughout the month (</w:t>
      </w:r>
      <w:r w:rsidR="004859E5">
        <w:rPr>
          <w:rFonts w:ascii="Calibri" w:hAnsi="Calibri" w:cs="Calibri"/>
        </w:rPr>
        <w:t>11</w:t>
      </w:r>
      <w:r w:rsidR="006E5A2D">
        <w:rPr>
          <w:rFonts w:ascii="Calibri" w:hAnsi="Calibri" w:cs="Calibri"/>
        </w:rPr>
        <w:t xml:space="preserve"> exceedances) until December 17, after which it recorded no further exceedances. </w:t>
      </w:r>
      <w:r w:rsidR="004859E5">
        <w:rPr>
          <w:rFonts w:ascii="Calibri" w:hAnsi="Calibri" w:cs="Calibri"/>
        </w:rPr>
        <w:t xml:space="preserve">Ethane also exceeded 0.5 </w:t>
      </w:r>
      <w:proofErr w:type="spellStart"/>
      <w:r w:rsidR="004859E5">
        <w:rPr>
          <w:rFonts w:ascii="Calibri" w:hAnsi="Calibri" w:cs="Calibri"/>
        </w:rPr>
        <w:t>ppbC</w:t>
      </w:r>
      <w:proofErr w:type="spellEnd"/>
      <w:r w:rsidR="004859E5">
        <w:rPr>
          <w:rFonts w:ascii="Calibri" w:hAnsi="Calibri" w:cs="Calibri"/>
        </w:rPr>
        <w:t xml:space="preserve"> once during the month (December 14). </w:t>
      </w:r>
      <w:r w:rsidR="006E5A2D">
        <w:rPr>
          <w:rFonts w:ascii="Calibri" w:hAnsi="Calibri" w:cs="Calibri"/>
        </w:rPr>
        <w:t>Acetylene exceeded its MDL in almost every blank between December 1 and December 17</w:t>
      </w:r>
      <w:r w:rsidR="004859E5">
        <w:rPr>
          <w:rFonts w:ascii="Calibri" w:hAnsi="Calibri" w:cs="Calibri"/>
        </w:rPr>
        <w:t xml:space="preserve"> (13 exceedances), after which it recorded no further exceedances</w:t>
      </w:r>
      <w:r w:rsidR="006E5A2D">
        <w:rPr>
          <w:rFonts w:ascii="Calibri" w:hAnsi="Calibri" w:cs="Calibri"/>
        </w:rPr>
        <w:t xml:space="preserve">. </w:t>
      </w:r>
      <w:r w:rsidR="00C63991" w:rsidRPr="00960177">
        <w:rPr>
          <w:rFonts w:ascii="Calibri" w:hAnsi="Calibri" w:cs="Calibri"/>
        </w:rPr>
        <w:t xml:space="preserve"> </w:t>
      </w:r>
      <w:r w:rsidR="00980058">
        <w:rPr>
          <w:rFonts w:ascii="Calibri" w:hAnsi="Calibri" w:cs="Calibri"/>
        </w:rPr>
        <w:t xml:space="preserve">All compounds with MDL exceedances were qualified with flag LB forward and backward to the nearest passing blanks. All compounds above 0.5 </w:t>
      </w:r>
      <w:proofErr w:type="spellStart"/>
      <w:r w:rsidR="00980058">
        <w:rPr>
          <w:rFonts w:ascii="Calibri" w:hAnsi="Calibri" w:cs="Calibri"/>
        </w:rPr>
        <w:t>ppbC</w:t>
      </w:r>
      <w:proofErr w:type="spellEnd"/>
      <w:r w:rsidR="00980058">
        <w:rPr>
          <w:rFonts w:ascii="Calibri" w:hAnsi="Calibri" w:cs="Calibri"/>
        </w:rPr>
        <w:t xml:space="preserve"> were nulled with flag AS forward and backward to the nearest passing blank.</w:t>
      </w:r>
    </w:p>
    <w:p w14:paraId="2D254BC1" w14:textId="1AFFB9C7" w:rsidR="00A93829" w:rsidRPr="00960177" w:rsidRDefault="002441F9">
      <w:pPr>
        <w:rPr>
          <w:rFonts w:ascii="Calibri" w:hAnsi="Calibri" w:cs="Calibri"/>
          <w:b/>
          <w:bCs/>
        </w:rPr>
      </w:pPr>
      <w:r>
        <w:rPr>
          <w:noProof/>
        </w:rPr>
        <w:drawing>
          <wp:anchor distT="0" distB="0" distL="114300" distR="114300" simplePos="0" relativeHeight="251665408" behindDoc="0" locked="0" layoutInCell="1" allowOverlap="1" wp14:anchorId="47DB963E" wp14:editId="3A6F0ED8">
            <wp:simplePos x="0" y="0"/>
            <wp:positionH relativeFrom="column">
              <wp:posOffset>3219450</wp:posOffset>
            </wp:positionH>
            <wp:positionV relativeFrom="paragraph">
              <wp:posOffset>316230</wp:posOffset>
            </wp:positionV>
            <wp:extent cx="3073400" cy="3320415"/>
            <wp:effectExtent l="0" t="0" r="12700" b="13335"/>
            <wp:wrapSquare wrapText="bothSides"/>
            <wp:docPr id="2015019994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CDF102F4-6C44-4420-94C8-C777149092DA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9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93829" w:rsidRPr="00960177">
        <w:rPr>
          <w:rFonts w:ascii="Calibri" w:hAnsi="Calibri" w:cs="Calibri"/>
        </w:rPr>
        <w:tab/>
      </w:r>
      <w:r w:rsidR="00A93829" w:rsidRPr="00960177">
        <w:rPr>
          <w:rFonts w:ascii="Calibri" w:hAnsi="Calibri" w:cs="Calibri"/>
          <w:b/>
          <w:bCs/>
        </w:rPr>
        <w:t>C</w:t>
      </w:r>
      <w:r w:rsidR="00341740" w:rsidRPr="00960177">
        <w:rPr>
          <w:rFonts w:ascii="Calibri" w:hAnsi="Calibri" w:cs="Calibri"/>
          <w:b/>
          <w:bCs/>
        </w:rPr>
        <w:t>alibration Verification Standard (C</w:t>
      </w:r>
      <w:r w:rsidR="00A93829" w:rsidRPr="00960177">
        <w:rPr>
          <w:rFonts w:ascii="Calibri" w:hAnsi="Calibri" w:cs="Calibri"/>
          <w:b/>
          <w:bCs/>
        </w:rPr>
        <w:t>VS</w:t>
      </w:r>
      <w:r w:rsidR="00341740" w:rsidRPr="00960177">
        <w:rPr>
          <w:rFonts w:ascii="Calibri" w:hAnsi="Calibri" w:cs="Calibri"/>
          <w:b/>
          <w:bCs/>
        </w:rPr>
        <w:t>)</w:t>
      </w:r>
      <w:r w:rsidR="00A93829" w:rsidRPr="00960177">
        <w:rPr>
          <w:rFonts w:ascii="Calibri" w:hAnsi="Calibri" w:cs="Calibri"/>
          <w:b/>
          <w:bCs/>
        </w:rPr>
        <w:t xml:space="preserve"> Recoveries</w:t>
      </w:r>
    </w:p>
    <w:p w14:paraId="120CE682" w14:textId="24693445" w:rsidR="00580706" w:rsidRPr="00960177" w:rsidRDefault="002342AC" w:rsidP="009E6667">
      <w:pPr>
        <w:ind w:left="1440"/>
        <w:rPr>
          <w:rFonts w:ascii="Calibri" w:hAnsi="Calibri" w:cs="Calibri"/>
        </w:rPr>
      </w:pPr>
      <w:r w:rsidRPr="00960177">
        <w:rPr>
          <w:rFonts w:ascii="Calibri" w:hAnsi="Calibri" w:cs="Calibri"/>
        </w:rPr>
        <w:t xml:space="preserve">Acetylene </w:t>
      </w:r>
      <w:r w:rsidR="009B39CF" w:rsidRPr="00960177">
        <w:rPr>
          <w:rFonts w:ascii="Calibri" w:hAnsi="Calibri" w:cs="Calibri"/>
        </w:rPr>
        <w:t>and p-</w:t>
      </w:r>
      <w:proofErr w:type="spellStart"/>
      <w:r w:rsidR="009B39CF" w:rsidRPr="00960177">
        <w:rPr>
          <w:rFonts w:ascii="Calibri" w:hAnsi="Calibri" w:cs="Calibri"/>
        </w:rPr>
        <w:t>diethylbenzene</w:t>
      </w:r>
      <w:proofErr w:type="spellEnd"/>
      <w:r w:rsidR="009B39CF" w:rsidRPr="00960177">
        <w:rPr>
          <w:rFonts w:ascii="Calibri" w:hAnsi="Calibri" w:cs="Calibri"/>
        </w:rPr>
        <w:t xml:space="preserve"> </w:t>
      </w:r>
      <w:r w:rsidRPr="00960177">
        <w:rPr>
          <w:rFonts w:ascii="Calibri" w:hAnsi="Calibri" w:cs="Calibri"/>
        </w:rPr>
        <w:t xml:space="preserve">failed all month </w:t>
      </w:r>
      <w:r w:rsidR="00341740" w:rsidRPr="00960177">
        <w:rPr>
          <w:rFonts w:ascii="Calibri" w:hAnsi="Calibri" w:cs="Calibri"/>
        </w:rPr>
        <w:t>due to poor tank retention</w:t>
      </w:r>
      <w:r w:rsidR="004859E5">
        <w:rPr>
          <w:rFonts w:ascii="Calibri" w:hAnsi="Calibri" w:cs="Calibri"/>
        </w:rPr>
        <w:t xml:space="preserve"> and</w:t>
      </w:r>
      <w:r w:rsidR="0024243C" w:rsidRPr="00960177">
        <w:rPr>
          <w:rFonts w:ascii="Calibri" w:hAnsi="Calibri" w:cs="Calibri"/>
        </w:rPr>
        <w:t xml:space="preserve"> were qualified</w:t>
      </w:r>
      <w:r w:rsidR="004859E5">
        <w:rPr>
          <w:rFonts w:ascii="Calibri" w:hAnsi="Calibri" w:cs="Calibri"/>
        </w:rPr>
        <w:t xml:space="preserve"> with flag</w:t>
      </w:r>
      <w:r w:rsidR="0024243C" w:rsidRPr="00960177">
        <w:rPr>
          <w:rFonts w:ascii="Calibri" w:hAnsi="Calibri" w:cs="Calibri"/>
        </w:rPr>
        <w:t xml:space="preserve"> QX (Does not meet QC criteria).</w:t>
      </w:r>
      <w:r w:rsidR="004859E5">
        <w:rPr>
          <w:rFonts w:ascii="Calibri" w:hAnsi="Calibri" w:cs="Calibri"/>
        </w:rPr>
        <w:t xml:space="preserve"> After December 23, 1,2,4-tri-m-benzene began consistently recovering below 70%</w:t>
      </w:r>
      <w:r w:rsidR="00980058">
        <w:rPr>
          <w:rFonts w:ascii="Calibri" w:hAnsi="Calibri" w:cs="Calibri"/>
        </w:rPr>
        <w:t xml:space="preserve"> and was flagged accordingly</w:t>
      </w:r>
      <w:r w:rsidR="004859E5">
        <w:rPr>
          <w:rFonts w:ascii="Calibri" w:hAnsi="Calibri" w:cs="Calibri"/>
        </w:rPr>
        <w:t>.</w:t>
      </w:r>
      <w:r w:rsidR="0024243C" w:rsidRPr="00960177">
        <w:rPr>
          <w:rFonts w:ascii="Calibri" w:hAnsi="Calibri" w:cs="Calibri"/>
        </w:rPr>
        <w:t xml:space="preserve"> </w:t>
      </w:r>
      <w:r w:rsidR="00420FAC">
        <w:rPr>
          <w:rFonts w:ascii="Calibri" w:hAnsi="Calibri" w:cs="Calibri"/>
        </w:rPr>
        <w:t>Precision</w:t>
      </w:r>
      <w:r w:rsidR="00333D26" w:rsidRPr="00960177">
        <w:rPr>
          <w:rFonts w:ascii="Calibri" w:hAnsi="Calibri" w:cs="Calibri"/>
        </w:rPr>
        <w:t xml:space="preserve"> checks passed for the entire month </w:t>
      </w:r>
      <w:r w:rsidR="00420FAC">
        <w:rPr>
          <w:rFonts w:ascii="Calibri" w:hAnsi="Calibri" w:cs="Calibri"/>
        </w:rPr>
        <w:t>(&lt;</w:t>
      </w:r>
      <w:r w:rsidR="004859E5">
        <w:rPr>
          <w:rFonts w:ascii="Calibri" w:hAnsi="Calibri" w:cs="Calibri"/>
        </w:rPr>
        <w:t>25</w:t>
      </w:r>
      <w:r w:rsidR="00420FAC">
        <w:rPr>
          <w:rFonts w:ascii="Calibri" w:hAnsi="Calibri" w:cs="Calibri"/>
        </w:rPr>
        <w:t xml:space="preserve">% RPD) </w:t>
      </w:r>
      <w:r w:rsidR="004859E5">
        <w:rPr>
          <w:rFonts w:ascii="Calibri" w:hAnsi="Calibri" w:cs="Calibri"/>
        </w:rPr>
        <w:t xml:space="preserve">for all </w:t>
      </w:r>
      <w:proofErr w:type="gramStart"/>
      <w:r w:rsidR="004859E5">
        <w:rPr>
          <w:rFonts w:ascii="Calibri" w:hAnsi="Calibri" w:cs="Calibri"/>
        </w:rPr>
        <w:t xml:space="preserve">compounds, </w:t>
      </w:r>
      <w:r w:rsidR="00333D26" w:rsidRPr="00960177">
        <w:rPr>
          <w:rFonts w:ascii="Calibri" w:hAnsi="Calibri" w:cs="Calibri"/>
        </w:rPr>
        <w:t>but</w:t>
      </w:r>
      <w:proofErr w:type="gramEnd"/>
      <w:r w:rsidR="00333D26" w:rsidRPr="00960177">
        <w:rPr>
          <w:rFonts w:ascii="Calibri" w:hAnsi="Calibri" w:cs="Calibri"/>
        </w:rPr>
        <w:t xml:space="preserve"> were elevated for heavier VOCs on the BP column, especially p-</w:t>
      </w:r>
      <w:proofErr w:type="spellStart"/>
      <w:r w:rsidR="00333D26" w:rsidRPr="00960177">
        <w:rPr>
          <w:rFonts w:ascii="Calibri" w:hAnsi="Calibri" w:cs="Calibri"/>
        </w:rPr>
        <w:t>dieth</w:t>
      </w:r>
      <w:r w:rsidR="00980058">
        <w:rPr>
          <w:rFonts w:ascii="Calibri" w:hAnsi="Calibri" w:cs="Calibri"/>
        </w:rPr>
        <w:t>ylbenzene</w:t>
      </w:r>
      <w:proofErr w:type="spellEnd"/>
      <w:r w:rsidR="00980058">
        <w:rPr>
          <w:rFonts w:ascii="Calibri" w:hAnsi="Calibri" w:cs="Calibri"/>
        </w:rPr>
        <w:t>. Du</w:t>
      </w:r>
      <w:r w:rsidR="0024243C" w:rsidRPr="00960177">
        <w:rPr>
          <w:rFonts w:ascii="Calibri" w:hAnsi="Calibri" w:cs="Calibri"/>
          <w:noProof/>
        </w:rPr>
        <w:t>plicate CVS runs for these values were consistently elevated relative to the initial runs, consistent with observations at other sites.</w:t>
      </w:r>
      <w:r w:rsidR="0024243C">
        <w:rPr>
          <w:rFonts w:ascii="Calibri" w:hAnsi="Calibri" w:cs="Calibri"/>
          <w:noProof/>
        </w:rPr>
        <w:t xml:space="preserve">  </w:t>
      </w:r>
      <w:r w:rsidR="00134858" w:rsidRPr="00960177">
        <w:rPr>
          <w:rFonts w:ascii="Calibri" w:hAnsi="Calibri" w:cs="Calibri"/>
        </w:rPr>
        <w:t xml:space="preserve">The target for propane and toluene was </w:t>
      </w:r>
      <w:r w:rsidR="009E6667" w:rsidRPr="00960177">
        <w:rPr>
          <w:rFonts w:ascii="Calibri" w:hAnsi="Calibri" w:cs="Calibri"/>
        </w:rPr>
        <w:t>1.</w:t>
      </w:r>
      <w:r w:rsidR="00980058">
        <w:rPr>
          <w:rFonts w:ascii="Calibri" w:hAnsi="Calibri" w:cs="Calibri"/>
        </w:rPr>
        <w:t>36</w:t>
      </w:r>
      <w:r w:rsidR="00134858" w:rsidRPr="00960177">
        <w:rPr>
          <w:rFonts w:ascii="Calibri" w:hAnsi="Calibri" w:cs="Calibri"/>
        </w:rPr>
        <w:t xml:space="preserve"> </w:t>
      </w:r>
      <w:proofErr w:type="spellStart"/>
      <w:r w:rsidR="00134858" w:rsidRPr="00960177">
        <w:rPr>
          <w:rFonts w:ascii="Calibri" w:hAnsi="Calibri" w:cs="Calibri"/>
        </w:rPr>
        <w:t>ppbC</w:t>
      </w:r>
      <w:proofErr w:type="spellEnd"/>
      <w:r w:rsidR="00134858" w:rsidRPr="00960177">
        <w:rPr>
          <w:rFonts w:ascii="Calibri" w:hAnsi="Calibri" w:cs="Calibri"/>
        </w:rPr>
        <w:t xml:space="preserve">. The standard deviation for propane </w:t>
      </w:r>
      <w:r w:rsidR="00420FAC">
        <w:rPr>
          <w:rFonts w:ascii="Calibri" w:hAnsi="Calibri" w:cs="Calibri"/>
        </w:rPr>
        <w:t xml:space="preserve">CVS runs </w:t>
      </w:r>
      <w:r w:rsidR="00134858" w:rsidRPr="00960177">
        <w:rPr>
          <w:rFonts w:ascii="Calibri" w:hAnsi="Calibri" w:cs="Calibri"/>
        </w:rPr>
        <w:t>was 0.0</w:t>
      </w:r>
      <w:r w:rsidR="002441F9">
        <w:rPr>
          <w:rFonts w:ascii="Calibri" w:hAnsi="Calibri" w:cs="Calibri"/>
        </w:rPr>
        <w:t>3</w:t>
      </w:r>
      <w:r w:rsidR="00134858" w:rsidRPr="00960177">
        <w:rPr>
          <w:rFonts w:ascii="Calibri" w:hAnsi="Calibri" w:cs="Calibri"/>
        </w:rPr>
        <w:t xml:space="preserve"> </w:t>
      </w:r>
      <w:proofErr w:type="spellStart"/>
      <w:r w:rsidR="00134858" w:rsidRPr="00960177">
        <w:rPr>
          <w:rFonts w:ascii="Calibri" w:hAnsi="Calibri" w:cs="Calibri"/>
        </w:rPr>
        <w:t>ppbC</w:t>
      </w:r>
      <w:proofErr w:type="spellEnd"/>
      <w:r w:rsidR="00134858" w:rsidRPr="00960177">
        <w:rPr>
          <w:rFonts w:ascii="Calibri" w:hAnsi="Calibri" w:cs="Calibri"/>
        </w:rPr>
        <w:t xml:space="preserve"> and for toluene was 0.</w:t>
      </w:r>
      <w:r w:rsidR="00A85C72">
        <w:rPr>
          <w:rFonts w:ascii="Calibri" w:hAnsi="Calibri" w:cs="Calibri"/>
        </w:rPr>
        <w:t>0</w:t>
      </w:r>
      <w:r w:rsidR="002441F9">
        <w:rPr>
          <w:rFonts w:ascii="Calibri" w:hAnsi="Calibri" w:cs="Calibri"/>
        </w:rPr>
        <w:t>4</w:t>
      </w:r>
      <w:r w:rsidR="00134858" w:rsidRPr="00960177">
        <w:rPr>
          <w:rFonts w:ascii="Calibri" w:hAnsi="Calibri" w:cs="Calibri"/>
        </w:rPr>
        <w:t xml:space="preserve"> </w:t>
      </w:r>
      <w:proofErr w:type="spellStart"/>
      <w:r w:rsidR="00134858" w:rsidRPr="00960177">
        <w:rPr>
          <w:rFonts w:ascii="Calibri" w:hAnsi="Calibri" w:cs="Calibri"/>
        </w:rPr>
        <w:t>ppbC</w:t>
      </w:r>
      <w:proofErr w:type="spellEnd"/>
      <w:r w:rsidR="00134858" w:rsidRPr="00960177">
        <w:rPr>
          <w:rFonts w:ascii="Calibri" w:hAnsi="Calibri" w:cs="Calibri"/>
        </w:rPr>
        <w:t>.</w:t>
      </w:r>
      <w:r w:rsidR="00822102" w:rsidRPr="00960177">
        <w:rPr>
          <w:rFonts w:ascii="Calibri" w:hAnsi="Calibri" w:cs="Calibri"/>
          <w:noProof/>
        </w:rPr>
        <w:t xml:space="preserve"> </w:t>
      </w:r>
    </w:p>
    <w:p w14:paraId="3F4A2A62" w14:textId="0CEA1DF8" w:rsidR="0005631B" w:rsidRPr="00960177" w:rsidRDefault="0005631B" w:rsidP="00A93829">
      <w:pPr>
        <w:ind w:left="1440"/>
        <w:rPr>
          <w:rFonts w:ascii="Calibri" w:hAnsi="Calibri" w:cs="Calibri"/>
        </w:rPr>
      </w:pPr>
    </w:p>
    <w:p w14:paraId="792EE126" w14:textId="1E4B14A9" w:rsidR="00A93829" w:rsidRPr="00960177" w:rsidRDefault="00A93829" w:rsidP="00C74C00">
      <w:pPr>
        <w:ind w:left="720"/>
        <w:rPr>
          <w:rFonts w:ascii="Calibri" w:hAnsi="Calibri" w:cs="Calibri"/>
          <w:b/>
          <w:bCs/>
        </w:rPr>
      </w:pPr>
      <w:r w:rsidRPr="00960177">
        <w:rPr>
          <w:rFonts w:ascii="Calibri" w:hAnsi="Calibri" w:cs="Calibri"/>
          <w:b/>
          <w:bCs/>
        </w:rPr>
        <w:t>R</w:t>
      </w:r>
      <w:r w:rsidR="00341740" w:rsidRPr="00960177">
        <w:rPr>
          <w:rFonts w:ascii="Calibri" w:hAnsi="Calibri" w:cs="Calibri"/>
          <w:b/>
          <w:bCs/>
        </w:rPr>
        <w:t>etention Time Standard (R</w:t>
      </w:r>
      <w:r w:rsidRPr="00960177">
        <w:rPr>
          <w:rFonts w:ascii="Calibri" w:hAnsi="Calibri" w:cs="Calibri"/>
          <w:b/>
          <w:bCs/>
        </w:rPr>
        <w:t>TS</w:t>
      </w:r>
      <w:r w:rsidR="00341740" w:rsidRPr="00960177">
        <w:rPr>
          <w:rFonts w:ascii="Calibri" w:hAnsi="Calibri" w:cs="Calibri"/>
          <w:b/>
          <w:bCs/>
        </w:rPr>
        <w:t>)</w:t>
      </w:r>
      <w:r w:rsidRPr="00960177">
        <w:rPr>
          <w:rFonts w:ascii="Calibri" w:hAnsi="Calibri" w:cs="Calibri"/>
          <w:b/>
          <w:bCs/>
        </w:rPr>
        <w:t xml:space="preserve"> Recoveries</w:t>
      </w:r>
    </w:p>
    <w:p w14:paraId="09AAF85C" w14:textId="394C6373" w:rsidR="00A93829" w:rsidRPr="00960177" w:rsidRDefault="00341740" w:rsidP="00A93829">
      <w:pPr>
        <w:ind w:left="1440"/>
        <w:rPr>
          <w:rFonts w:ascii="Calibri" w:hAnsi="Calibri" w:cs="Calibri"/>
        </w:rPr>
      </w:pPr>
      <w:r w:rsidRPr="00960177">
        <w:rPr>
          <w:rFonts w:ascii="Calibri" w:hAnsi="Calibri" w:cs="Calibri"/>
        </w:rPr>
        <w:lastRenderedPageBreak/>
        <w:t xml:space="preserve">Acetylene failed all month due to poor tank retention.  </w:t>
      </w:r>
      <w:r w:rsidR="00A93829" w:rsidRPr="00960177">
        <w:rPr>
          <w:rFonts w:ascii="Calibri" w:hAnsi="Calibri" w:cs="Calibri"/>
        </w:rPr>
        <w:t>The RTS showed</w:t>
      </w:r>
      <w:r w:rsidRPr="00960177">
        <w:rPr>
          <w:rFonts w:ascii="Calibri" w:hAnsi="Calibri" w:cs="Calibri"/>
        </w:rPr>
        <w:t xml:space="preserve"> decent</w:t>
      </w:r>
      <w:r w:rsidR="008C70A6" w:rsidRPr="00960177">
        <w:rPr>
          <w:rFonts w:ascii="Calibri" w:hAnsi="Calibri" w:cs="Calibri"/>
        </w:rPr>
        <w:t xml:space="preserve"> recovery</w:t>
      </w:r>
      <w:r w:rsidRPr="00960177">
        <w:rPr>
          <w:rFonts w:ascii="Calibri" w:hAnsi="Calibri" w:cs="Calibri"/>
        </w:rPr>
        <w:t xml:space="preserve"> </w:t>
      </w:r>
      <w:r w:rsidR="008C70A6" w:rsidRPr="00960177">
        <w:rPr>
          <w:rFonts w:ascii="Calibri" w:hAnsi="Calibri" w:cs="Calibri"/>
        </w:rPr>
        <w:t>throughout the month</w:t>
      </w:r>
      <w:r w:rsidRPr="00960177">
        <w:rPr>
          <w:rFonts w:ascii="Calibri" w:hAnsi="Calibri" w:cs="Calibri"/>
        </w:rPr>
        <w:t>.</w:t>
      </w:r>
      <w:r w:rsidR="008C70A6" w:rsidRPr="00960177">
        <w:rPr>
          <w:rFonts w:ascii="Calibri" w:hAnsi="Calibri" w:cs="Calibri"/>
        </w:rPr>
        <w:t xml:space="preserve"> </w:t>
      </w:r>
      <w:r w:rsidR="00102383" w:rsidRPr="00960177">
        <w:rPr>
          <w:rFonts w:ascii="Calibri" w:hAnsi="Calibri" w:cs="Calibri"/>
        </w:rPr>
        <w:t>The standard deviation for propane</w:t>
      </w:r>
      <w:r w:rsidR="001679E4" w:rsidRPr="00960177">
        <w:rPr>
          <w:rFonts w:ascii="Calibri" w:hAnsi="Calibri" w:cs="Calibri"/>
        </w:rPr>
        <w:t xml:space="preserve"> </w:t>
      </w:r>
      <w:r w:rsidR="00102383" w:rsidRPr="00960177">
        <w:rPr>
          <w:rFonts w:ascii="Calibri" w:hAnsi="Calibri" w:cs="Calibri"/>
        </w:rPr>
        <w:t xml:space="preserve">was </w:t>
      </w:r>
      <w:r w:rsidR="00134858" w:rsidRPr="00960177">
        <w:rPr>
          <w:rFonts w:ascii="Calibri" w:hAnsi="Calibri" w:cs="Calibri"/>
        </w:rPr>
        <w:t>0.0</w:t>
      </w:r>
      <w:r w:rsidR="002441F9">
        <w:rPr>
          <w:rFonts w:ascii="Calibri" w:hAnsi="Calibri" w:cs="Calibri"/>
        </w:rPr>
        <w:t>3</w:t>
      </w:r>
      <w:r w:rsidR="00134858" w:rsidRPr="00960177">
        <w:rPr>
          <w:rFonts w:ascii="Calibri" w:hAnsi="Calibri" w:cs="Calibri"/>
        </w:rPr>
        <w:t xml:space="preserve"> </w:t>
      </w:r>
      <w:proofErr w:type="spellStart"/>
      <w:r w:rsidR="00134858" w:rsidRPr="00960177">
        <w:rPr>
          <w:rFonts w:ascii="Calibri" w:hAnsi="Calibri" w:cs="Calibri"/>
        </w:rPr>
        <w:t>ppbC</w:t>
      </w:r>
      <w:proofErr w:type="spellEnd"/>
      <w:r w:rsidR="00134858" w:rsidRPr="00960177">
        <w:rPr>
          <w:rFonts w:ascii="Calibri" w:hAnsi="Calibri" w:cs="Calibri"/>
        </w:rPr>
        <w:t xml:space="preserve"> </w:t>
      </w:r>
      <w:r w:rsidR="00102383" w:rsidRPr="00960177">
        <w:rPr>
          <w:rFonts w:ascii="Calibri" w:hAnsi="Calibri" w:cs="Calibri"/>
        </w:rPr>
        <w:t xml:space="preserve">and for toluene was </w:t>
      </w:r>
      <w:r w:rsidR="00134858" w:rsidRPr="00960177">
        <w:rPr>
          <w:rFonts w:ascii="Calibri" w:hAnsi="Calibri" w:cs="Calibri"/>
        </w:rPr>
        <w:t>0.</w:t>
      </w:r>
      <w:r w:rsidR="00A85C72">
        <w:rPr>
          <w:rFonts w:ascii="Calibri" w:hAnsi="Calibri" w:cs="Calibri"/>
        </w:rPr>
        <w:t>0</w:t>
      </w:r>
      <w:r w:rsidR="002441F9">
        <w:rPr>
          <w:rFonts w:ascii="Calibri" w:hAnsi="Calibri" w:cs="Calibri"/>
        </w:rPr>
        <w:t>4</w:t>
      </w:r>
      <w:r w:rsidR="00134858" w:rsidRPr="00960177">
        <w:rPr>
          <w:rFonts w:ascii="Calibri" w:hAnsi="Calibri" w:cs="Calibri"/>
        </w:rPr>
        <w:t xml:space="preserve"> </w:t>
      </w:r>
      <w:proofErr w:type="spellStart"/>
      <w:r w:rsidR="00134858" w:rsidRPr="00960177">
        <w:rPr>
          <w:rFonts w:ascii="Calibri" w:hAnsi="Calibri" w:cs="Calibri"/>
        </w:rPr>
        <w:t>ppbC</w:t>
      </w:r>
      <w:proofErr w:type="spellEnd"/>
      <w:r w:rsidR="00134858" w:rsidRPr="00960177">
        <w:rPr>
          <w:rFonts w:ascii="Calibri" w:hAnsi="Calibri" w:cs="Calibri"/>
        </w:rPr>
        <w:t>.</w:t>
      </w:r>
    </w:p>
    <w:p w14:paraId="3D904A70" w14:textId="47AECF9B" w:rsidR="00A93829" w:rsidRPr="00960177" w:rsidRDefault="00A93829" w:rsidP="00A93829">
      <w:pPr>
        <w:rPr>
          <w:rFonts w:ascii="Calibri" w:hAnsi="Calibri" w:cs="Calibri"/>
          <w:b/>
          <w:bCs/>
        </w:rPr>
      </w:pPr>
      <w:r w:rsidRPr="00960177">
        <w:rPr>
          <w:rFonts w:ascii="Calibri" w:hAnsi="Calibri" w:cs="Calibri"/>
        </w:rPr>
        <w:tab/>
      </w:r>
      <w:r w:rsidRPr="00960177">
        <w:rPr>
          <w:rFonts w:ascii="Calibri" w:hAnsi="Calibri" w:cs="Calibri"/>
          <w:b/>
          <w:bCs/>
        </w:rPr>
        <w:t>L</w:t>
      </w:r>
      <w:r w:rsidR="00341740" w:rsidRPr="00960177">
        <w:rPr>
          <w:rFonts w:ascii="Calibri" w:hAnsi="Calibri" w:cs="Calibri"/>
          <w:b/>
          <w:bCs/>
        </w:rPr>
        <w:t>aboratory Control Standard (L</w:t>
      </w:r>
      <w:r w:rsidRPr="00960177">
        <w:rPr>
          <w:rFonts w:ascii="Calibri" w:hAnsi="Calibri" w:cs="Calibri"/>
          <w:b/>
          <w:bCs/>
        </w:rPr>
        <w:t>CS</w:t>
      </w:r>
      <w:r w:rsidR="00341740" w:rsidRPr="00960177">
        <w:rPr>
          <w:rFonts w:ascii="Calibri" w:hAnsi="Calibri" w:cs="Calibri"/>
          <w:b/>
          <w:bCs/>
        </w:rPr>
        <w:t>)</w:t>
      </w:r>
      <w:r w:rsidRPr="00960177">
        <w:rPr>
          <w:rFonts w:ascii="Calibri" w:hAnsi="Calibri" w:cs="Calibri"/>
          <w:b/>
          <w:bCs/>
        </w:rPr>
        <w:t xml:space="preserve"> Recoveries</w:t>
      </w:r>
    </w:p>
    <w:p w14:paraId="4BFDF00D" w14:textId="4084B0A4" w:rsidR="00A93829" w:rsidRPr="00960177" w:rsidRDefault="004859E5" w:rsidP="00A93829">
      <w:pPr>
        <w:ind w:left="1440"/>
        <w:rPr>
          <w:rFonts w:ascii="Calibri" w:hAnsi="Calibri" w:cs="Calibri"/>
        </w:rPr>
      </w:pPr>
      <w:r>
        <w:rPr>
          <w:rFonts w:ascii="Calibri" w:hAnsi="Calibri" w:cs="Calibri"/>
        </w:rPr>
        <w:t>Acetylene was below 70% recovery in all LCS runs for the month.</w:t>
      </w:r>
      <w:r w:rsidR="009E6667" w:rsidRPr="00960177">
        <w:rPr>
          <w:rFonts w:ascii="Calibri" w:hAnsi="Calibri" w:cs="Calibri"/>
        </w:rPr>
        <w:t xml:space="preserve"> The standard deviation for propane was 0.1</w:t>
      </w:r>
      <w:r w:rsidR="002441F9">
        <w:rPr>
          <w:rFonts w:ascii="Calibri" w:hAnsi="Calibri" w:cs="Calibri"/>
        </w:rPr>
        <w:t>1</w:t>
      </w:r>
      <w:r w:rsidR="009E6667" w:rsidRPr="00960177">
        <w:rPr>
          <w:rFonts w:ascii="Calibri" w:hAnsi="Calibri" w:cs="Calibri"/>
        </w:rPr>
        <w:t xml:space="preserve"> </w:t>
      </w:r>
      <w:proofErr w:type="spellStart"/>
      <w:r w:rsidR="009E6667" w:rsidRPr="00960177">
        <w:rPr>
          <w:rFonts w:ascii="Calibri" w:hAnsi="Calibri" w:cs="Calibri"/>
        </w:rPr>
        <w:t>ppbC</w:t>
      </w:r>
      <w:proofErr w:type="spellEnd"/>
      <w:r w:rsidR="009E6667" w:rsidRPr="00960177">
        <w:rPr>
          <w:rFonts w:ascii="Calibri" w:hAnsi="Calibri" w:cs="Calibri"/>
        </w:rPr>
        <w:t xml:space="preserve"> and for toluene was 0.</w:t>
      </w:r>
      <w:r w:rsidR="002441F9">
        <w:rPr>
          <w:rFonts w:ascii="Calibri" w:hAnsi="Calibri" w:cs="Calibri"/>
        </w:rPr>
        <w:t>09</w:t>
      </w:r>
      <w:r w:rsidR="009E6667" w:rsidRPr="00960177">
        <w:rPr>
          <w:rFonts w:ascii="Calibri" w:hAnsi="Calibri" w:cs="Calibri"/>
        </w:rPr>
        <w:t xml:space="preserve"> </w:t>
      </w:r>
      <w:proofErr w:type="spellStart"/>
      <w:r w:rsidR="009E6667" w:rsidRPr="00960177">
        <w:rPr>
          <w:rFonts w:ascii="Calibri" w:hAnsi="Calibri" w:cs="Calibri"/>
        </w:rPr>
        <w:t>ppbC</w:t>
      </w:r>
      <w:proofErr w:type="spellEnd"/>
      <w:r w:rsidR="009E6667" w:rsidRPr="00960177">
        <w:rPr>
          <w:rFonts w:ascii="Calibri" w:hAnsi="Calibri" w:cs="Calibri"/>
        </w:rPr>
        <w:t>.</w:t>
      </w:r>
    </w:p>
    <w:p w14:paraId="7E419481" w14:textId="312D9EBD" w:rsidR="00AA2402" w:rsidRPr="00960177" w:rsidRDefault="00AA2402" w:rsidP="00AA2402">
      <w:pPr>
        <w:ind w:left="720"/>
        <w:rPr>
          <w:rFonts w:ascii="Calibri" w:hAnsi="Calibri" w:cs="Calibri"/>
          <w:b/>
          <w:bCs/>
        </w:rPr>
      </w:pPr>
      <w:r w:rsidRPr="00960177">
        <w:rPr>
          <w:rFonts w:ascii="Calibri" w:hAnsi="Calibri" w:cs="Calibri"/>
          <w:b/>
          <w:bCs/>
        </w:rPr>
        <w:t>Calibrations</w:t>
      </w:r>
    </w:p>
    <w:p w14:paraId="3F2E6B8A" w14:textId="083FCF60" w:rsidR="00AA2402" w:rsidRPr="00960177" w:rsidRDefault="0003314B" w:rsidP="009D703A">
      <w:pPr>
        <w:ind w:left="1440"/>
        <w:rPr>
          <w:rFonts w:ascii="Calibri" w:hAnsi="Calibri" w:cs="Calibri"/>
        </w:rPr>
      </w:pPr>
      <w:r>
        <w:rPr>
          <w:rFonts w:ascii="Calibri" w:hAnsi="Calibri" w:cs="Calibri"/>
        </w:rPr>
        <w:t xml:space="preserve">A calibration was performed on </w:t>
      </w:r>
      <w:r w:rsidR="002441F9">
        <w:rPr>
          <w:rFonts w:ascii="Calibri" w:hAnsi="Calibri" w:cs="Calibri"/>
        </w:rPr>
        <w:t>December 1</w:t>
      </w:r>
      <w:r>
        <w:rPr>
          <w:rFonts w:ascii="Calibri" w:hAnsi="Calibri" w:cs="Calibri"/>
        </w:rPr>
        <w:t>. The new RF</w:t>
      </w:r>
      <w:r w:rsidR="00420FAC">
        <w:rPr>
          <w:rFonts w:ascii="Calibri" w:hAnsi="Calibri" w:cs="Calibri"/>
        </w:rPr>
        <w:t xml:space="preserve"> values</w:t>
      </w:r>
      <w:r>
        <w:rPr>
          <w:rFonts w:ascii="Calibri" w:hAnsi="Calibri" w:cs="Calibri"/>
        </w:rPr>
        <w:t xml:space="preserve"> were </w:t>
      </w:r>
      <w:r w:rsidR="002441F9" w:rsidRPr="002441F9">
        <w:rPr>
          <w:rFonts w:ascii="Calibri" w:hAnsi="Calibri" w:cs="Calibri"/>
        </w:rPr>
        <w:t>4872</w:t>
      </w:r>
      <w:r>
        <w:rPr>
          <w:rFonts w:ascii="Calibri" w:hAnsi="Calibri" w:cs="Calibri"/>
        </w:rPr>
        <w:t xml:space="preserve"> for the PLOT column and </w:t>
      </w:r>
      <w:r w:rsidR="002441F9" w:rsidRPr="002441F9">
        <w:rPr>
          <w:rFonts w:ascii="Calibri" w:hAnsi="Calibri" w:cs="Calibri"/>
        </w:rPr>
        <w:t>5025</w:t>
      </w:r>
      <w:r>
        <w:rPr>
          <w:rFonts w:ascii="Calibri" w:hAnsi="Calibri" w:cs="Calibri"/>
        </w:rPr>
        <w:t xml:space="preserve"> for the BP column. </w:t>
      </w:r>
      <w:r w:rsidR="002441F9">
        <w:rPr>
          <w:rFonts w:ascii="Calibri" w:hAnsi="Calibri" w:cs="Calibri"/>
        </w:rPr>
        <w:t>The previous RF values were 5691 for the PLOT column and 5708 for the BP column. The relative percent difference between these RFs was 16.8% for the PLOT column and 13.6% for the BP column.</w:t>
      </w:r>
    </w:p>
    <w:p w14:paraId="242643CA" w14:textId="36257267" w:rsidR="00AA2402" w:rsidRPr="00960177" w:rsidRDefault="00AA2402" w:rsidP="00AA2402">
      <w:pPr>
        <w:ind w:left="720"/>
        <w:rPr>
          <w:rFonts w:ascii="Calibri" w:hAnsi="Calibri" w:cs="Calibri"/>
          <w:b/>
          <w:bCs/>
        </w:rPr>
      </w:pPr>
      <w:r w:rsidRPr="00960177">
        <w:rPr>
          <w:rFonts w:ascii="Calibri" w:hAnsi="Calibri" w:cs="Calibri"/>
          <w:b/>
          <w:bCs/>
        </w:rPr>
        <w:t>Method Detection Limit (MDL) Studies</w:t>
      </w:r>
    </w:p>
    <w:p w14:paraId="5D8A3F3C" w14:textId="71E31457" w:rsidR="00AA2402" w:rsidRPr="00960177" w:rsidRDefault="00AA2402" w:rsidP="009D703A">
      <w:pPr>
        <w:ind w:left="1440"/>
        <w:rPr>
          <w:rFonts w:ascii="Calibri" w:hAnsi="Calibri" w:cs="Calibri"/>
        </w:rPr>
      </w:pPr>
      <w:r w:rsidRPr="00960177">
        <w:rPr>
          <w:rFonts w:ascii="Calibri" w:hAnsi="Calibri" w:cs="Calibri"/>
        </w:rPr>
        <w:t>No MDL studies were performed this month.</w:t>
      </w:r>
    </w:p>
    <w:p w14:paraId="33D607D6" w14:textId="207AE34D" w:rsidR="00AA2402" w:rsidRPr="00960177" w:rsidRDefault="00AA2402" w:rsidP="00AA2402">
      <w:pPr>
        <w:ind w:left="720"/>
        <w:rPr>
          <w:rFonts w:ascii="Calibri" w:hAnsi="Calibri" w:cs="Calibri"/>
          <w:b/>
          <w:bCs/>
        </w:rPr>
      </w:pPr>
      <w:r w:rsidRPr="00960177">
        <w:rPr>
          <w:rFonts w:ascii="Calibri" w:hAnsi="Calibri" w:cs="Calibri"/>
          <w:b/>
          <w:bCs/>
        </w:rPr>
        <w:t>Proficiency Testing (PT)</w:t>
      </w:r>
    </w:p>
    <w:p w14:paraId="2594345A" w14:textId="0D23FA8A" w:rsidR="00AA2402" w:rsidRPr="00960177" w:rsidRDefault="00AA2402" w:rsidP="009D703A">
      <w:pPr>
        <w:ind w:left="1440"/>
        <w:rPr>
          <w:rFonts w:ascii="Calibri" w:hAnsi="Calibri" w:cs="Calibri"/>
        </w:rPr>
      </w:pPr>
      <w:r w:rsidRPr="00960177">
        <w:rPr>
          <w:rFonts w:ascii="Calibri" w:hAnsi="Calibri" w:cs="Calibri"/>
        </w:rPr>
        <w:t>No PT analysis was performed this month.</w:t>
      </w:r>
    </w:p>
    <w:p w14:paraId="132C1779" w14:textId="4D1C9E2D" w:rsidR="00AA2402" w:rsidRPr="00960177" w:rsidRDefault="00AA2402" w:rsidP="00AA2402">
      <w:pPr>
        <w:ind w:left="720"/>
        <w:rPr>
          <w:rFonts w:ascii="Calibri" w:hAnsi="Calibri" w:cs="Calibri"/>
          <w:b/>
          <w:bCs/>
        </w:rPr>
      </w:pPr>
      <w:r w:rsidRPr="00960177">
        <w:rPr>
          <w:rFonts w:ascii="Calibri" w:hAnsi="Calibri" w:cs="Calibri"/>
          <w:b/>
          <w:bCs/>
        </w:rPr>
        <w:t>Ambient Air Spikes</w:t>
      </w:r>
    </w:p>
    <w:p w14:paraId="5692E2D0" w14:textId="1326D3E2" w:rsidR="00AA2402" w:rsidRPr="00960177" w:rsidRDefault="002441F9" w:rsidP="009D703A">
      <w:pPr>
        <w:ind w:left="1440"/>
        <w:rPr>
          <w:rFonts w:ascii="Calibri" w:hAnsi="Calibri" w:cs="Calibri"/>
        </w:rPr>
      </w:pPr>
      <w:r>
        <w:rPr>
          <w:rFonts w:ascii="Calibri" w:hAnsi="Calibri" w:cs="Calibri"/>
        </w:rPr>
        <w:t>One ambient spike was performed on December 20</w:t>
      </w:r>
      <w:r w:rsidR="00885CA6" w:rsidRPr="00960177">
        <w:rPr>
          <w:rFonts w:ascii="Calibri" w:hAnsi="Calibri" w:cs="Calibri"/>
        </w:rPr>
        <w:t>.</w:t>
      </w:r>
    </w:p>
    <w:p w14:paraId="3678F30A" w14:textId="3908C2FA" w:rsidR="00B70BEF" w:rsidRPr="00960177" w:rsidRDefault="00B70BEF" w:rsidP="00B70BEF">
      <w:pPr>
        <w:ind w:left="720"/>
        <w:rPr>
          <w:rFonts w:ascii="Calibri" w:hAnsi="Calibri" w:cs="Calibri"/>
          <w:b/>
          <w:bCs/>
        </w:rPr>
      </w:pPr>
      <w:r w:rsidRPr="00960177">
        <w:rPr>
          <w:rFonts w:ascii="Calibri" w:hAnsi="Calibri" w:cs="Calibri"/>
          <w:b/>
          <w:bCs/>
        </w:rPr>
        <w:t>Nonconformances</w:t>
      </w:r>
    </w:p>
    <w:p w14:paraId="76B068F4" w14:textId="5F9F32CB" w:rsidR="00A62DA4" w:rsidRPr="00960177" w:rsidRDefault="002441F9" w:rsidP="00F77E4E">
      <w:pPr>
        <w:ind w:left="1440"/>
        <w:rPr>
          <w:rFonts w:ascii="Calibri" w:hAnsi="Calibri" w:cs="Calibri"/>
        </w:rPr>
      </w:pPr>
      <w:r>
        <w:rPr>
          <w:rFonts w:ascii="Calibri" w:hAnsi="Calibri" w:cs="Calibri"/>
        </w:rPr>
        <w:t>None recorded.</w:t>
      </w:r>
    </w:p>
    <w:p w14:paraId="2B57F1A2" w14:textId="2097B999" w:rsidR="000E7080" w:rsidRPr="00960177" w:rsidRDefault="00E422D5" w:rsidP="000E7080">
      <w:pPr>
        <w:ind w:left="720"/>
        <w:rPr>
          <w:rFonts w:ascii="Calibri" w:hAnsi="Calibri" w:cs="Calibri"/>
          <w:b/>
          <w:bCs/>
        </w:rPr>
      </w:pPr>
      <w:r w:rsidRPr="00960177">
        <w:rPr>
          <w:rFonts w:ascii="Calibri" w:hAnsi="Calibri" w:cs="Calibri"/>
          <w:noProof/>
        </w:rPr>
        <w:lastRenderedPageBreak/>
        <w:drawing>
          <wp:anchor distT="0" distB="0" distL="114300" distR="114300" simplePos="0" relativeHeight="251660288" behindDoc="1" locked="0" layoutInCell="1" allowOverlap="1" wp14:anchorId="26970E3F" wp14:editId="329287C3">
            <wp:simplePos x="0" y="0"/>
            <wp:positionH relativeFrom="column">
              <wp:posOffset>2354580</wp:posOffset>
            </wp:positionH>
            <wp:positionV relativeFrom="paragraph">
              <wp:posOffset>92710</wp:posOffset>
            </wp:positionV>
            <wp:extent cx="4061460" cy="3116580"/>
            <wp:effectExtent l="0" t="0" r="15240" b="7620"/>
            <wp:wrapTight wrapText="bothSides">
              <wp:wrapPolygon edited="0">
                <wp:start x="0" y="0"/>
                <wp:lineTo x="0" y="21521"/>
                <wp:lineTo x="21580" y="21521"/>
                <wp:lineTo x="21580" y="0"/>
                <wp:lineTo x="0" y="0"/>
              </wp:wrapPolygon>
            </wp:wrapTight>
            <wp:docPr id="1563305480" name="Chart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0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E7080" w:rsidRPr="00960177">
        <w:rPr>
          <w:rFonts w:ascii="Calibri" w:hAnsi="Calibri" w:cs="Calibri"/>
          <w:b/>
          <w:bCs/>
        </w:rPr>
        <w:t>Trend</w:t>
      </w:r>
      <w:r w:rsidR="001965CC" w:rsidRPr="00960177">
        <w:rPr>
          <w:rFonts w:ascii="Calibri" w:hAnsi="Calibri" w:cs="Calibri"/>
          <w:b/>
          <w:bCs/>
        </w:rPr>
        <w:t>s</w:t>
      </w:r>
    </w:p>
    <w:p w14:paraId="758D28EF" w14:textId="219F0439" w:rsidR="00CB1E07" w:rsidRPr="00960177" w:rsidRDefault="001A6722" w:rsidP="00CB1E07">
      <w:pPr>
        <w:ind w:left="1440"/>
        <w:rPr>
          <w:rFonts w:ascii="Calibri" w:hAnsi="Calibri" w:cs="Calibri"/>
        </w:rPr>
      </w:pPr>
      <w:r w:rsidRPr="00960177">
        <w:rPr>
          <w:rFonts w:ascii="Calibri" w:hAnsi="Calibri" w:cs="Calibri"/>
        </w:rPr>
        <w:t xml:space="preserve">QC recoveries for propane and toluene </w:t>
      </w:r>
      <w:r w:rsidR="00852DF7">
        <w:rPr>
          <w:rFonts w:ascii="Calibri" w:hAnsi="Calibri" w:cs="Calibri"/>
        </w:rPr>
        <w:t>were consistent and within acceptable bounds for the entire month.</w:t>
      </w:r>
    </w:p>
    <w:sectPr w:rsidR="00CB1E07" w:rsidRPr="00960177" w:rsidSect="00CB1E07">
      <w:headerReference w:type="default" r:id="rId11"/>
      <w:footerReference w:type="default" r:id="rId12"/>
      <w:headerReference w:type="first" r:id="rId13"/>
      <w:footerReference w:type="first" r:id="rId14"/>
      <w:pgSz w:w="12240" w:h="15840"/>
      <w:pgMar w:top="1440" w:right="1440" w:bottom="1440" w:left="1440" w:header="576" w:footer="576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C62256" w14:textId="77777777" w:rsidR="003629C6" w:rsidRDefault="003629C6" w:rsidP="00580706">
      <w:pPr>
        <w:spacing w:after="0" w:line="240" w:lineRule="auto"/>
      </w:pPr>
      <w:r>
        <w:separator/>
      </w:r>
    </w:p>
  </w:endnote>
  <w:endnote w:type="continuationSeparator" w:id="0">
    <w:p w14:paraId="59AFDA01" w14:textId="77777777" w:rsidR="003629C6" w:rsidRDefault="003629C6" w:rsidP="0058070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337076178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27C5E9C9" w14:textId="064E11C4" w:rsidR="00120EF2" w:rsidRDefault="00120EF2">
            <w:pPr>
              <w:pStyle w:val="Footer"/>
              <w:jc w:val="right"/>
            </w:pPr>
            <w:r w:rsidRPr="00120EF2">
              <w:rPr>
                <w:rFonts w:ascii="Calibri" w:hAnsi="Calibri" w:cs="Calibri"/>
                <w:sz w:val="22"/>
                <w:szCs w:val="22"/>
              </w:rPr>
              <w:t xml:space="preserve">Page </w:t>
            </w:r>
            <w:r w:rsidRPr="00120EF2">
              <w:rPr>
                <w:rFonts w:ascii="Calibri" w:hAnsi="Calibri" w:cs="Calibri"/>
                <w:b/>
                <w:bCs/>
                <w:sz w:val="22"/>
                <w:szCs w:val="22"/>
              </w:rPr>
              <w:fldChar w:fldCharType="begin"/>
            </w:r>
            <w:r w:rsidRPr="00120EF2">
              <w:rPr>
                <w:rFonts w:ascii="Calibri" w:hAnsi="Calibri" w:cs="Calibri"/>
                <w:b/>
                <w:bCs/>
                <w:sz w:val="22"/>
                <w:szCs w:val="22"/>
              </w:rPr>
              <w:instrText xml:space="preserve"> PAGE </w:instrText>
            </w:r>
            <w:r w:rsidRPr="00120EF2">
              <w:rPr>
                <w:rFonts w:ascii="Calibri" w:hAnsi="Calibri" w:cs="Calibri"/>
                <w:b/>
                <w:bCs/>
                <w:sz w:val="22"/>
                <w:szCs w:val="22"/>
              </w:rPr>
              <w:fldChar w:fldCharType="separate"/>
            </w:r>
            <w:r w:rsidRPr="00120EF2">
              <w:rPr>
                <w:rFonts w:ascii="Calibri" w:hAnsi="Calibri" w:cs="Calibri"/>
                <w:b/>
                <w:bCs/>
                <w:noProof/>
                <w:sz w:val="22"/>
                <w:szCs w:val="22"/>
              </w:rPr>
              <w:t>2</w:t>
            </w:r>
            <w:r w:rsidRPr="00120EF2">
              <w:rPr>
                <w:rFonts w:ascii="Calibri" w:hAnsi="Calibri" w:cs="Calibri"/>
                <w:b/>
                <w:bCs/>
                <w:sz w:val="22"/>
                <w:szCs w:val="22"/>
              </w:rPr>
              <w:fldChar w:fldCharType="end"/>
            </w:r>
            <w:r w:rsidRPr="00120EF2">
              <w:rPr>
                <w:rFonts w:ascii="Calibri" w:hAnsi="Calibri" w:cs="Calibri"/>
                <w:sz w:val="22"/>
                <w:szCs w:val="22"/>
              </w:rPr>
              <w:t xml:space="preserve"> of </w:t>
            </w:r>
            <w:r w:rsidRPr="00120EF2">
              <w:rPr>
                <w:rFonts w:ascii="Calibri" w:hAnsi="Calibri" w:cs="Calibri"/>
                <w:b/>
                <w:bCs/>
                <w:sz w:val="22"/>
                <w:szCs w:val="22"/>
              </w:rPr>
              <w:fldChar w:fldCharType="begin"/>
            </w:r>
            <w:r w:rsidRPr="00120EF2">
              <w:rPr>
                <w:rFonts w:ascii="Calibri" w:hAnsi="Calibri" w:cs="Calibri"/>
                <w:b/>
                <w:bCs/>
                <w:sz w:val="22"/>
                <w:szCs w:val="22"/>
              </w:rPr>
              <w:instrText xml:space="preserve"> NUMPAGES  </w:instrText>
            </w:r>
            <w:r w:rsidRPr="00120EF2">
              <w:rPr>
                <w:rFonts w:ascii="Calibri" w:hAnsi="Calibri" w:cs="Calibri"/>
                <w:b/>
                <w:bCs/>
                <w:sz w:val="22"/>
                <w:szCs w:val="22"/>
              </w:rPr>
              <w:fldChar w:fldCharType="separate"/>
            </w:r>
            <w:r w:rsidRPr="00120EF2">
              <w:rPr>
                <w:rFonts w:ascii="Calibri" w:hAnsi="Calibri" w:cs="Calibri"/>
                <w:b/>
                <w:bCs/>
                <w:noProof/>
                <w:sz w:val="22"/>
                <w:szCs w:val="22"/>
              </w:rPr>
              <w:t>2</w:t>
            </w:r>
            <w:r w:rsidRPr="00120EF2">
              <w:rPr>
                <w:rFonts w:ascii="Calibri" w:hAnsi="Calibri" w:cs="Calibri"/>
                <w:b/>
                <w:bCs/>
                <w:sz w:val="22"/>
                <w:szCs w:val="22"/>
              </w:rPr>
              <w:fldChar w:fldCharType="end"/>
            </w:r>
          </w:p>
        </w:sdtContent>
      </w:sdt>
    </w:sdtContent>
  </w:sdt>
  <w:p w14:paraId="6EDBA3F3" w14:textId="77777777" w:rsidR="00341740" w:rsidRDefault="0034174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503160583"/>
      <w:docPartObj>
        <w:docPartGallery w:val="Page Numbers (Top of Page)"/>
        <w:docPartUnique/>
      </w:docPartObj>
    </w:sdtPr>
    <w:sdtContent>
      <w:p w14:paraId="42B2769A" w14:textId="77777777" w:rsidR="006163B7" w:rsidRDefault="006163B7" w:rsidP="006163B7">
        <w:pPr>
          <w:pStyle w:val="Footer"/>
          <w:jc w:val="right"/>
        </w:pPr>
        <w:r w:rsidRPr="00120EF2">
          <w:rPr>
            <w:rFonts w:ascii="Calibri" w:hAnsi="Calibri" w:cs="Calibri"/>
            <w:sz w:val="22"/>
            <w:szCs w:val="22"/>
          </w:rPr>
          <w:t xml:space="preserve">Page </w:t>
        </w:r>
        <w:r w:rsidRPr="00120EF2">
          <w:rPr>
            <w:rFonts w:ascii="Calibri" w:hAnsi="Calibri" w:cs="Calibri"/>
            <w:b/>
            <w:bCs/>
            <w:sz w:val="22"/>
            <w:szCs w:val="22"/>
          </w:rPr>
          <w:fldChar w:fldCharType="begin"/>
        </w:r>
        <w:r w:rsidRPr="00120EF2">
          <w:rPr>
            <w:rFonts w:ascii="Calibri" w:hAnsi="Calibri" w:cs="Calibri"/>
            <w:b/>
            <w:bCs/>
            <w:sz w:val="22"/>
            <w:szCs w:val="22"/>
          </w:rPr>
          <w:instrText xml:space="preserve"> PAGE </w:instrText>
        </w:r>
        <w:r w:rsidRPr="00120EF2">
          <w:rPr>
            <w:rFonts w:ascii="Calibri" w:hAnsi="Calibri" w:cs="Calibri"/>
            <w:b/>
            <w:bCs/>
            <w:sz w:val="22"/>
            <w:szCs w:val="22"/>
          </w:rPr>
          <w:fldChar w:fldCharType="separate"/>
        </w:r>
        <w:r>
          <w:rPr>
            <w:rFonts w:ascii="Calibri" w:hAnsi="Calibri" w:cs="Calibri"/>
            <w:b/>
            <w:bCs/>
            <w:sz w:val="22"/>
            <w:szCs w:val="22"/>
          </w:rPr>
          <w:t>2</w:t>
        </w:r>
        <w:r w:rsidRPr="00120EF2">
          <w:rPr>
            <w:rFonts w:ascii="Calibri" w:hAnsi="Calibri" w:cs="Calibri"/>
            <w:b/>
            <w:bCs/>
            <w:sz w:val="22"/>
            <w:szCs w:val="22"/>
          </w:rPr>
          <w:fldChar w:fldCharType="end"/>
        </w:r>
        <w:r w:rsidRPr="00120EF2">
          <w:rPr>
            <w:rFonts w:ascii="Calibri" w:hAnsi="Calibri" w:cs="Calibri"/>
            <w:sz w:val="22"/>
            <w:szCs w:val="22"/>
          </w:rPr>
          <w:t xml:space="preserve"> of </w:t>
        </w:r>
        <w:r w:rsidRPr="00120EF2">
          <w:rPr>
            <w:rFonts w:ascii="Calibri" w:hAnsi="Calibri" w:cs="Calibri"/>
            <w:b/>
            <w:bCs/>
            <w:sz w:val="22"/>
            <w:szCs w:val="22"/>
          </w:rPr>
          <w:fldChar w:fldCharType="begin"/>
        </w:r>
        <w:r w:rsidRPr="00120EF2">
          <w:rPr>
            <w:rFonts w:ascii="Calibri" w:hAnsi="Calibri" w:cs="Calibri"/>
            <w:b/>
            <w:bCs/>
            <w:sz w:val="22"/>
            <w:szCs w:val="22"/>
          </w:rPr>
          <w:instrText xml:space="preserve"> NUMPAGES  </w:instrText>
        </w:r>
        <w:r w:rsidRPr="00120EF2">
          <w:rPr>
            <w:rFonts w:ascii="Calibri" w:hAnsi="Calibri" w:cs="Calibri"/>
            <w:b/>
            <w:bCs/>
            <w:sz w:val="22"/>
            <w:szCs w:val="22"/>
          </w:rPr>
          <w:fldChar w:fldCharType="separate"/>
        </w:r>
        <w:r>
          <w:rPr>
            <w:rFonts w:ascii="Calibri" w:hAnsi="Calibri" w:cs="Calibri"/>
            <w:b/>
            <w:bCs/>
            <w:sz w:val="22"/>
            <w:szCs w:val="22"/>
          </w:rPr>
          <w:t>3</w:t>
        </w:r>
        <w:r w:rsidRPr="00120EF2">
          <w:rPr>
            <w:rFonts w:ascii="Calibri" w:hAnsi="Calibri" w:cs="Calibri"/>
            <w:b/>
            <w:bCs/>
            <w:sz w:val="22"/>
            <w:szCs w:val="22"/>
          </w:rPr>
          <w:fldChar w:fldCharType="end"/>
        </w:r>
      </w:p>
    </w:sdtContent>
  </w:sdt>
  <w:p w14:paraId="5862D01C" w14:textId="77777777" w:rsidR="006163B7" w:rsidRDefault="006163B7" w:rsidP="006163B7">
    <w:pPr>
      <w:pStyle w:val="Footer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6B4ADA" w14:textId="77777777" w:rsidR="003629C6" w:rsidRDefault="003629C6" w:rsidP="00580706">
      <w:pPr>
        <w:spacing w:after="0" w:line="240" w:lineRule="auto"/>
      </w:pPr>
      <w:r>
        <w:separator/>
      </w:r>
    </w:p>
  </w:footnote>
  <w:footnote w:type="continuationSeparator" w:id="0">
    <w:p w14:paraId="15D86E93" w14:textId="77777777" w:rsidR="003629C6" w:rsidRDefault="003629C6" w:rsidP="0058070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701703" w14:textId="77777777" w:rsidR="00CB1E07" w:rsidRPr="00CB1E07" w:rsidRDefault="00CB1E07" w:rsidP="00120EF2">
    <w:pPr>
      <w:pStyle w:val="Header"/>
      <w:jc w:val="center"/>
      <w:rPr>
        <w:rFonts w:ascii="Times New Roman" w:hAnsi="Times New Roman" w:cs="Times New Roman"/>
        <w:b/>
        <w:bCs/>
        <w:sz w:val="16"/>
        <w:szCs w:val="16"/>
      </w:rPr>
    </w:pPr>
  </w:p>
  <w:p w14:paraId="3FC36013" w14:textId="1F2F5D1C" w:rsidR="00120EF2" w:rsidRDefault="00120EF2" w:rsidP="0090357F">
    <w:pPr>
      <w:pStyle w:val="Header"/>
      <w:jc w:val="center"/>
      <w:rPr>
        <w:rFonts w:ascii="Times New Roman" w:hAnsi="Times New Roman" w:cs="Times New Roman"/>
        <w:b/>
        <w:bCs/>
        <w:sz w:val="28"/>
        <w:szCs w:val="28"/>
      </w:rPr>
    </w:pPr>
    <w:r w:rsidRPr="00120EF2">
      <w:rPr>
        <w:rFonts w:ascii="Times New Roman" w:hAnsi="Times New Roman" w:cs="Times New Roman"/>
        <w:b/>
        <w:bCs/>
        <w:noProof/>
        <w:sz w:val="28"/>
        <w:szCs w:val="28"/>
      </w:rPr>
      <w:drawing>
        <wp:anchor distT="0" distB="0" distL="114300" distR="114300" simplePos="0" relativeHeight="251658240" behindDoc="1" locked="0" layoutInCell="1" allowOverlap="1" wp14:anchorId="289861C1" wp14:editId="7F090C1E">
          <wp:simplePos x="0" y="0"/>
          <wp:positionH relativeFrom="column">
            <wp:posOffset>5153025</wp:posOffset>
          </wp:positionH>
          <wp:positionV relativeFrom="paragraph">
            <wp:posOffset>-390525</wp:posOffset>
          </wp:positionV>
          <wp:extent cx="1676400" cy="831215"/>
          <wp:effectExtent l="0" t="0" r="0" b="6985"/>
          <wp:wrapTight wrapText="bothSides">
            <wp:wrapPolygon edited="0">
              <wp:start x="0" y="0"/>
              <wp:lineTo x="0" y="21286"/>
              <wp:lineTo x="21355" y="21286"/>
              <wp:lineTo x="21355" y="0"/>
              <wp:lineTo x="0" y="0"/>
            </wp:wrapPolygon>
          </wp:wrapTight>
          <wp:docPr id="90163089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76400" cy="83121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="001A5D5A">
      <w:rPr>
        <w:rFonts w:ascii="Times New Roman" w:hAnsi="Times New Roman" w:cs="Times New Roman"/>
        <w:b/>
        <w:bCs/>
        <w:sz w:val="28"/>
        <w:szCs w:val="28"/>
      </w:rPr>
      <w:t>December</w:t>
    </w:r>
    <w:r w:rsidR="00580706" w:rsidRPr="00120EF2">
      <w:rPr>
        <w:rFonts w:ascii="Times New Roman" w:hAnsi="Times New Roman" w:cs="Times New Roman"/>
        <w:b/>
        <w:bCs/>
        <w:sz w:val="28"/>
        <w:szCs w:val="28"/>
      </w:rPr>
      <w:t xml:space="preserve"> 2025 GC </w:t>
    </w:r>
    <w:r w:rsidR="00BB21C5">
      <w:rPr>
        <w:rFonts w:ascii="Times New Roman" w:hAnsi="Times New Roman" w:cs="Times New Roman"/>
        <w:b/>
        <w:bCs/>
        <w:sz w:val="28"/>
        <w:szCs w:val="28"/>
      </w:rPr>
      <w:t>Lake Park</w:t>
    </w:r>
    <w:r w:rsidR="00580706" w:rsidRPr="00120EF2">
      <w:rPr>
        <w:rFonts w:ascii="Times New Roman" w:hAnsi="Times New Roman" w:cs="Times New Roman"/>
        <w:b/>
        <w:bCs/>
        <w:sz w:val="28"/>
        <w:szCs w:val="28"/>
      </w:rPr>
      <w:t xml:space="preserve"> (</w:t>
    </w:r>
    <w:r w:rsidR="00BB21C5">
      <w:rPr>
        <w:rFonts w:ascii="Times New Roman" w:hAnsi="Times New Roman" w:cs="Times New Roman"/>
        <w:b/>
        <w:bCs/>
        <w:sz w:val="28"/>
        <w:szCs w:val="28"/>
      </w:rPr>
      <w:t>LP</w:t>
    </w:r>
    <w:r w:rsidR="00580706" w:rsidRPr="00120EF2">
      <w:rPr>
        <w:rFonts w:ascii="Times New Roman" w:hAnsi="Times New Roman" w:cs="Times New Roman"/>
        <w:b/>
        <w:bCs/>
        <w:sz w:val="28"/>
        <w:szCs w:val="28"/>
      </w:rPr>
      <w:t>) Case Narrative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A45859" w14:textId="517375F3" w:rsidR="006163B7" w:rsidRDefault="006163B7" w:rsidP="006163B7">
    <w:pPr>
      <w:pStyle w:val="Header"/>
      <w:jc w:val="center"/>
      <w:rPr>
        <w:rFonts w:ascii="Times New Roman" w:hAnsi="Times New Roman" w:cs="Times New Roman"/>
        <w:b/>
        <w:bCs/>
        <w:sz w:val="28"/>
        <w:szCs w:val="28"/>
      </w:rPr>
    </w:pPr>
    <w:r w:rsidRPr="00120EF2">
      <w:rPr>
        <w:rFonts w:ascii="Times New Roman" w:hAnsi="Times New Roman" w:cs="Times New Roman"/>
        <w:b/>
        <w:bCs/>
        <w:noProof/>
        <w:sz w:val="28"/>
        <w:szCs w:val="28"/>
      </w:rPr>
      <w:drawing>
        <wp:anchor distT="0" distB="0" distL="114300" distR="114300" simplePos="0" relativeHeight="251660288" behindDoc="1" locked="0" layoutInCell="1" allowOverlap="1" wp14:anchorId="6A35B6C3" wp14:editId="0FAABD9B">
          <wp:simplePos x="0" y="0"/>
          <wp:positionH relativeFrom="column">
            <wp:posOffset>5153025</wp:posOffset>
          </wp:positionH>
          <wp:positionV relativeFrom="paragraph">
            <wp:posOffset>-390525</wp:posOffset>
          </wp:positionV>
          <wp:extent cx="1676400" cy="831215"/>
          <wp:effectExtent l="0" t="0" r="0" b="6985"/>
          <wp:wrapTight wrapText="bothSides">
            <wp:wrapPolygon edited="0">
              <wp:start x="0" y="0"/>
              <wp:lineTo x="0" y="21286"/>
              <wp:lineTo x="21355" y="21286"/>
              <wp:lineTo x="21355" y="0"/>
              <wp:lineTo x="0" y="0"/>
            </wp:wrapPolygon>
          </wp:wrapTight>
          <wp:docPr id="871159891" name="Picture 2" descr="A picture containing company name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71159891" name="Picture 2" descr="A picture containing company name&#10;&#10;AI-generated content may be incorrect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76400" cy="83121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="0004217C">
      <w:rPr>
        <w:rFonts w:ascii="Times New Roman" w:hAnsi="Times New Roman" w:cs="Times New Roman"/>
        <w:b/>
        <w:bCs/>
        <w:sz w:val="28"/>
        <w:szCs w:val="28"/>
      </w:rPr>
      <w:t>December</w:t>
    </w:r>
    <w:r w:rsidRPr="00120EF2">
      <w:rPr>
        <w:rFonts w:ascii="Times New Roman" w:hAnsi="Times New Roman" w:cs="Times New Roman"/>
        <w:b/>
        <w:bCs/>
        <w:sz w:val="28"/>
        <w:szCs w:val="28"/>
      </w:rPr>
      <w:t xml:space="preserve"> 2025 GC </w:t>
    </w:r>
    <w:r w:rsidR="00BB21C5">
      <w:rPr>
        <w:rFonts w:ascii="Times New Roman" w:hAnsi="Times New Roman" w:cs="Times New Roman"/>
        <w:b/>
        <w:bCs/>
        <w:sz w:val="28"/>
        <w:szCs w:val="28"/>
      </w:rPr>
      <w:t>Lake Park</w:t>
    </w:r>
    <w:r w:rsidRPr="00120EF2">
      <w:rPr>
        <w:rFonts w:ascii="Times New Roman" w:hAnsi="Times New Roman" w:cs="Times New Roman"/>
        <w:b/>
        <w:bCs/>
        <w:sz w:val="28"/>
        <w:szCs w:val="28"/>
      </w:rPr>
      <w:t xml:space="preserve"> (</w:t>
    </w:r>
    <w:r w:rsidR="00BB21C5">
      <w:rPr>
        <w:rFonts w:ascii="Times New Roman" w:hAnsi="Times New Roman" w:cs="Times New Roman"/>
        <w:b/>
        <w:bCs/>
        <w:sz w:val="28"/>
        <w:szCs w:val="28"/>
      </w:rPr>
      <w:t>LP</w:t>
    </w:r>
    <w:r w:rsidRPr="00120EF2">
      <w:rPr>
        <w:rFonts w:ascii="Times New Roman" w:hAnsi="Times New Roman" w:cs="Times New Roman"/>
        <w:b/>
        <w:bCs/>
        <w:sz w:val="28"/>
        <w:szCs w:val="28"/>
      </w:rPr>
      <w:t>) Case Narrative</w:t>
    </w:r>
  </w:p>
  <w:p w14:paraId="54DE2E04" w14:textId="73BD87DE" w:rsidR="006163B7" w:rsidRDefault="006163B7" w:rsidP="006163B7">
    <w:pPr>
      <w:pStyle w:val="Header"/>
      <w:jc w:val="both"/>
      <w:rPr>
        <w:rFonts w:ascii="Times New Roman" w:hAnsi="Times New Roman" w:cs="Times New Roman"/>
        <w:sz w:val="16"/>
        <w:szCs w:val="16"/>
      </w:rPr>
    </w:pPr>
    <w:r>
      <w:rPr>
        <w:rFonts w:ascii="Times New Roman" w:hAnsi="Times New Roman" w:cs="Times New Roman"/>
        <w:sz w:val="16"/>
        <w:szCs w:val="16"/>
      </w:rPr>
      <w:t>Validated by Alex Engstrom                Authored by Alex Engstrom</w:t>
    </w:r>
    <w:r>
      <w:rPr>
        <w:rFonts w:ascii="Times New Roman" w:hAnsi="Times New Roman" w:cs="Times New Roman"/>
        <w:sz w:val="16"/>
        <w:szCs w:val="16"/>
      </w:rPr>
      <w:tab/>
      <w:t xml:space="preserve">        </w:t>
    </w:r>
    <w:r w:rsidR="00333D26">
      <w:rPr>
        <w:rFonts w:ascii="Times New Roman" w:hAnsi="Times New Roman" w:cs="Times New Roman"/>
        <w:sz w:val="16"/>
        <w:szCs w:val="16"/>
      </w:rPr>
      <w:t>Peer Reviewed by Robert Aullman</w:t>
    </w:r>
    <w:r>
      <w:rPr>
        <w:rFonts w:ascii="Times New Roman" w:hAnsi="Times New Roman" w:cs="Times New Roman"/>
        <w:sz w:val="16"/>
        <w:szCs w:val="16"/>
      </w:rPr>
      <w:t xml:space="preserve">    </w:t>
    </w:r>
  </w:p>
  <w:p w14:paraId="3709284B" w14:textId="43F4E804" w:rsidR="006163B7" w:rsidRDefault="006163B7" w:rsidP="006163B7">
    <w:pPr>
      <w:pStyle w:val="Header"/>
      <w:jc w:val="both"/>
      <w:rPr>
        <w:rFonts w:ascii="Times New Roman" w:hAnsi="Times New Roman" w:cs="Times New Roman"/>
        <w:sz w:val="16"/>
        <w:szCs w:val="16"/>
      </w:rPr>
    </w:pPr>
    <w:r>
      <w:rPr>
        <w:rFonts w:ascii="Times New Roman" w:hAnsi="Times New Roman" w:cs="Times New Roman"/>
        <w:sz w:val="16"/>
        <w:szCs w:val="16"/>
      </w:rPr>
      <w:t xml:space="preserve">              202</w:t>
    </w:r>
    <w:r w:rsidR="0004217C">
      <w:rPr>
        <w:rFonts w:ascii="Times New Roman" w:hAnsi="Times New Roman" w:cs="Times New Roman"/>
        <w:sz w:val="16"/>
        <w:szCs w:val="16"/>
      </w:rPr>
      <w:t>6</w:t>
    </w:r>
    <w:r>
      <w:rPr>
        <w:rFonts w:ascii="Times New Roman" w:hAnsi="Times New Roman" w:cs="Times New Roman"/>
        <w:sz w:val="16"/>
        <w:szCs w:val="16"/>
      </w:rPr>
      <w:t>-</w:t>
    </w:r>
    <w:r w:rsidR="0004217C">
      <w:rPr>
        <w:rFonts w:ascii="Times New Roman" w:hAnsi="Times New Roman" w:cs="Times New Roman"/>
        <w:sz w:val="16"/>
        <w:szCs w:val="16"/>
      </w:rPr>
      <w:t>02</w:t>
    </w:r>
    <w:r>
      <w:rPr>
        <w:rFonts w:ascii="Times New Roman" w:hAnsi="Times New Roman" w:cs="Times New Roman"/>
        <w:sz w:val="16"/>
        <w:szCs w:val="16"/>
      </w:rPr>
      <w:t>-</w:t>
    </w:r>
    <w:r w:rsidR="0004217C">
      <w:rPr>
        <w:rFonts w:ascii="Times New Roman" w:hAnsi="Times New Roman" w:cs="Times New Roman"/>
        <w:sz w:val="16"/>
        <w:szCs w:val="16"/>
      </w:rPr>
      <w:t>24</w:t>
    </w:r>
    <w:r>
      <w:rPr>
        <w:rFonts w:ascii="Times New Roman" w:hAnsi="Times New Roman" w:cs="Times New Roman"/>
        <w:sz w:val="16"/>
        <w:szCs w:val="16"/>
      </w:rPr>
      <w:t xml:space="preserve">                                       202</w:t>
    </w:r>
    <w:r w:rsidR="0004217C">
      <w:rPr>
        <w:rFonts w:ascii="Times New Roman" w:hAnsi="Times New Roman" w:cs="Times New Roman"/>
        <w:sz w:val="16"/>
        <w:szCs w:val="16"/>
      </w:rPr>
      <w:t>6</w:t>
    </w:r>
    <w:r>
      <w:rPr>
        <w:rFonts w:ascii="Times New Roman" w:hAnsi="Times New Roman" w:cs="Times New Roman"/>
        <w:sz w:val="16"/>
        <w:szCs w:val="16"/>
      </w:rPr>
      <w:t>-</w:t>
    </w:r>
    <w:r w:rsidR="0004217C">
      <w:rPr>
        <w:rFonts w:ascii="Times New Roman" w:hAnsi="Times New Roman" w:cs="Times New Roman"/>
        <w:sz w:val="16"/>
        <w:szCs w:val="16"/>
      </w:rPr>
      <w:t>02</w:t>
    </w:r>
    <w:r>
      <w:rPr>
        <w:rFonts w:ascii="Times New Roman" w:hAnsi="Times New Roman" w:cs="Times New Roman"/>
        <w:sz w:val="16"/>
        <w:szCs w:val="16"/>
      </w:rPr>
      <w:t>-</w:t>
    </w:r>
    <w:r w:rsidR="0004217C">
      <w:rPr>
        <w:rFonts w:ascii="Times New Roman" w:hAnsi="Times New Roman" w:cs="Times New Roman"/>
        <w:sz w:val="16"/>
        <w:szCs w:val="16"/>
      </w:rPr>
      <w:t>24</w:t>
    </w:r>
    <w:r>
      <w:rPr>
        <w:rFonts w:ascii="Times New Roman" w:hAnsi="Times New Roman" w:cs="Times New Roman"/>
        <w:sz w:val="16"/>
        <w:szCs w:val="16"/>
      </w:rPr>
      <w:t xml:space="preserve">                                           </w:t>
    </w:r>
  </w:p>
  <w:p w14:paraId="4AEC5B3A" w14:textId="77777777" w:rsidR="00BE5631" w:rsidRPr="006163B7" w:rsidRDefault="00BE5631" w:rsidP="006163B7">
    <w:pPr>
      <w:pStyle w:val="Header"/>
      <w:jc w:val="both"/>
      <w:rPr>
        <w:rFonts w:ascii="Times New Roman" w:hAnsi="Times New Roman" w:cs="Times New Roman"/>
        <w:sz w:val="16"/>
        <w:szCs w:val="1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067EF6"/>
    <w:multiLevelType w:val="hybridMultilevel"/>
    <w:tmpl w:val="EC10DE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617602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6B6A"/>
    <w:rsid w:val="000237F7"/>
    <w:rsid w:val="0003060A"/>
    <w:rsid w:val="0003314B"/>
    <w:rsid w:val="00040F81"/>
    <w:rsid w:val="00041044"/>
    <w:rsid w:val="0004217C"/>
    <w:rsid w:val="00053578"/>
    <w:rsid w:val="0005631B"/>
    <w:rsid w:val="00057ACE"/>
    <w:rsid w:val="0006698D"/>
    <w:rsid w:val="000A626C"/>
    <w:rsid w:val="000A72B5"/>
    <w:rsid w:val="000B4628"/>
    <w:rsid w:val="000E7080"/>
    <w:rsid w:val="000F3D12"/>
    <w:rsid w:val="00101008"/>
    <w:rsid w:val="00101674"/>
    <w:rsid w:val="00102383"/>
    <w:rsid w:val="00120EF2"/>
    <w:rsid w:val="0012700B"/>
    <w:rsid w:val="0013211B"/>
    <w:rsid w:val="00133FE2"/>
    <w:rsid w:val="00134858"/>
    <w:rsid w:val="0014154C"/>
    <w:rsid w:val="001679E4"/>
    <w:rsid w:val="00181C0E"/>
    <w:rsid w:val="00182EF8"/>
    <w:rsid w:val="001965CC"/>
    <w:rsid w:val="001A5A8E"/>
    <w:rsid w:val="001A5D5A"/>
    <w:rsid w:val="001A6722"/>
    <w:rsid w:val="001C06CF"/>
    <w:rsid w:val="001C53C1"/>
    <w:rsid w:val="001E0194"/>
    <w:rsid w:val="001F085D"/>
    <w:rsid w:val="001F5AA2"/>
    <w:rsid w:val="001F6797"/>
    <w:rsid w:val="00210518"/>
    <w:rsid w:val="002342AC"/>
    <w:rsid w:val="0024243C"/>
    <w:rsid w:val="002441F9"/>
    <w:rsid w:val="002670BA"/>
    <w:rsid w:val="002B0B0C"/>
    <w:rsid w:val="002B3EA4"/>
    <w:rsid w:val="002D1DAC"/>
    <w:rsid w:val="002E32B7"/>
    <w:rsid w:val="003152F4"/>
    <w:rsid w:val="00317695"/>
    <w:rsid w:val="00333D26"/>
    <w:rsid w:val="00340448"/>
    <w:rsid w:val="00341740"/>
    <w:rsid w:val="003629C6"/>
    <w:rsid w:val="00364D03"/>
    <w:rsid w:val="003831A0"/>
    <w:rsid w:val="00392322"/>
    <w:rsid w:val="003E4FF2"/>
    <w:rsid w:val="00414B64"/>
    <w:rsid w:val="00420FAC"/>
    <w:rsid w:val="00431FF3"/>
    <w:rsid w:val="0046336C"/>
    <w:rsid w:val="00476FCB"/>
    <w:rsid w:val="004859E5"/>
    <w:rsid w:val="0048682D"/>
    <w:rsid w:val="004903ED"/>
    <w:rsid w:val="004B6C62"/>
    <w:rsid w:val="005303E8"/>
    <w:rsid w:val="00560DD4"/>
    <w:rsid w:val="00580706"/>
    <w:rsid w:val="00587B5F"/>
    <w:rsid w:val="005948D7"/>
    <w:rsid w:val="005A59A2"/>
    <w:rsid w:val="005D6DBE"/>
    <w:rsid w:val="005F1B2D"/>
    <w:rsid w:val="006130F3"/>
    <w:rsid w:val="006163B7"/>
    <w:rsid w:val="00656B6A"/>
    <w:rsid w:val="00676492"/>
    <w:rsid w:val="0068434F"/>
    <w:rsid w:val="00693428"/>
    <w:rsid w:val="006C268B"/>
    <w:rsid w:val="006E245A"/>
    <w:rsid w:val="006E5A2D"/>
    <w:rsid w:val="007020DB"/>
    <w:rsid w:val="00704260"/>
    <w:rsid w:val="00724594"/>
    <w:rsid w:val="00727F40"/>
    <w:rsid w:val="007332B0"/>
    <w:rsid w:val="007652F5"/>
    <w:rsid w:val="00797AF7"/>
    <w:rsid w:val="007B2DB6"/>
    <w:rsid w:val="007B374F"/>
    <w:rsid w:val="007B38FB"/>
    <w:rsid w:val="007B734C"/>
    <w:rsid w:val="007D338A"/>
    <w:rsid w:val="007F1C9A"/>
    <w:rsid w:val="008206BA"/>
    <w:rsid w:val="00822102"/>
    <w:rsid w:val="008301BB"/>
    <w:rsid w:val="00836854"/>
    <w:rsid w:val="008430E9"/>
    <w:rsid w:val="00845450"/>
    <w:rsid w:val="00852DF7"/>
    <w:rsid w:val="008577DE"/>
    <w:rsid w:val="00863C4C"/>
    <w:rsid w:val="00885CA6"/>
    <w:rsid w:val="00885EE4"/>
    <w:rsid w:val="008C70A6"/>
    <w:rsid w:val="0090357F"/>
    <w:rsid w:val="00921712"/>
    <w:rsid w:val="0092338B"/>
    <w:rsid w:val="00924CC3"/>
    <w:rsid w:val="00952A2A"/>
    <w:rsid w:val="00960177"/>
    <w:rsid w:val="009621B4"/>
    <w:rsid w:val="00980058"/>
    <w:rsid w:val="0098401D"/>
    <w:rsid w:val="009B01B4"/>
    <w:rsid w:val="009B39CF"/>
    <w:rsid w:val="009C2A23"/>
    <w:rsid w:val="009D00F9"/>
    <w:rsid w:val="009D0A2A"/>
    <w:rsid w:val="009D703A"/>
    <w:rsid w:val="009E6667"/>
    <w:rsid w:val="009F4A7A"/>
    <w:rsid w:val="00A060C8"/>
    <w:rsid w:val="00A27E96"/>
    <w:rsid w:val="00A46377"/>
    <w:rsid w:val="00A62DA4"/>
    <w:rsid w:val="00A85C72"/>
    <w:rsid w:val="00A93829"/>
    <w:rsid w:val="00A93D76"/>
    <w:rsid w:val="00AA1CD9"/>
    <w:rsid w:val="00AA2402"/>
    <w:rsid w:val="00AA2C11"/>
    <w:rsid w:val="00AA3AEC"/>
    <w:rsid w:val="00AC421F"/>
    <w:rsid w:val="00AF35EE"/>
    <w:rsid w:val="00AF6D8F"/>
    <w:rsid w:val="00B52A05"/>
    <w:rsid w:val="00B622E3"/>
    <w:rsid w:val="00B66E58"/>
    <w:rsid w:val="00B671A6"/>
    <w:rsid w:val="00B70BEF"/>
    <w:rsid w:val="00BA4D4F"/>
    <w:rsid w:val="00BB21C5"/>
    <w:rsid w:val="00BB5E27"/>
    <w:rsid w:val="00BE0C56"/>
    <w:rsid w:val="00BE5631"/>
    <w:rsid w:val="00BE6727"/>
    <w:rsid w:val="00C12C50"/>
    <w:rsid w:val="00C63991"/>
    <w:rsid w:val="00C74C00"/>
    <w:rsid w:val="00C95BD2"/>
    <w:rsid w:val="00C96971"/>
    <w:rsid w:val="00CA6BD1"/>
    <w:rsid w:val="00CB1E07"/>
    <w:rsid w:val="00CF09CB"/>
    <w:rsid w:val="00CF6E72"/>
    <w:rsid w:val="00D05D3A"/>
    <w:rsid w:val="00D34AF1"/>
    <w:rsid w:val="00D56089"/>
    <w:rsid w:val="00D903BA"/>
    <w:rsid w:val="00D906F4"/>
    <w:rsid w:val="00DA5730"/>
    <w:rsid w:val="00DB1259"/>
    <w:rsid w:val="00DC794C"/>
    <w:rsid w:val="00DE34CC"/>
    <w:rsid w:val="00DE536F"/>
    <w:rsid w:val="00DF2362"/>
    <w:rsid w:val="00DF2BB3"/>
    <w:rsid w:val="00E21C60"/>
    <w:rsid w:val="00E422D5"/>
    <w:rsid w:val="00E56AB5"/>
    <w:rsid w:val="00EF3C18"/>
    <w:rsid w:val="00EF6AFC"/>
    <w:rsid w:val="00F0508A"/>
    <w:rsid w:val="00F25A59"/>
    <w:rsid w:val="00F350C5"/>
    <w:rsid w:val="00F36E83"/>
    <w:rsid w:val="00F37FBA"/>
    <w:rsid w:val="00F77E4E"/>
    <w:rsid w:val="00F81924"/>
    <w:rsid w:val="00F970E3"/>
    <w:rsid w:val="00FA7608"/>
    <w:rsid w:val="00FB0899"/>
    <w:rsid w:val="00FE4607"/>
    <w:rsid w:val="00FE56FC"/>
    <w:rsid w:val="00FF5D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88C0580"/>
  <w15:chartTrackingRefBased/>
  <w15:docId w15:val="{F7437690-409B-4160-BED0-685FD1EF87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6B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6B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6B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6B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6B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6B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6B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6B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6B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6B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6B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6B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6B6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6B6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6B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6B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6B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6B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6B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6B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6B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6B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6B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6B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6B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6B6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6B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6B6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6B6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8070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80706"/>
  </w:style>
  <w:style w:type="paragraph" w:styleId="Footer">
    <w:name w:val="footer"/>
    <w:basedOn w:val="Normal"/>
    <w:link w:val="FooterChar"/>
    <w:uiPriority w:val="99"/>
    <w:unhideWhenUsed/>
    <w:rsid w:val="0058070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80706"/>
  </w:style>
  <w:style w:type="paragraph" w:customStyle="1" w:styleId="FirstParagraph">
    <w:name w:val="First Paragraph"/>
    <w:basedOn w:val="BodyText"/>
    <w:next w:val="BodyText"/>
    <w:qFormat/>
    <w:rsid w:val="006163B7"/>
    <w:pPr>
      <w:spacing w:before="180" w:after="180" w:line="240" w:lineRule="auto"/>
    </w:pPr>
    <w:rPr>
      <w:kern w:val="0"/>
      <w14:ligatures w14:val="none"/>
    </w:rPr>
  </w:style>
  <w:style w:type="paragraph" w:styleId="BodyText">
    <w:name w:val="Body Text"/>
    <w:basedOn w:val="Normal"/>
    <w:link w:val="BodyTextChar"/>
    <w:uiPriority w:val="99"/>
    <w:semiHidden/>
    <w:unhideWhenUsed/>
    <w:rsid w:val="006163B7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6163B7"/>
  </w:style>
  <w:style w:type="paragraph" w:styleId="Revision">
    <w:name w:val="Revision"/>
    <w:hidden/>
    <w:uiPriority w:val="99"/>
    <w:semiHidden/>
    <w:rsid w:val="0024243C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hart" Target="charts/chart2.xml"/><Relationship Id="rId13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chart" Target="charts/chart1.xml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chart" Target="charts/chart4.xml"/><Relationship Id="rId4" Type="http://schemas.openxmlformats.org/officeDocument/2006/relationships/webSettings" Target="webSettings.xml"/><Relationship Id="rId9" Type="http://schemas.openxmlformats.org/officeDocument/2006/relationships/chart" Target="charts/chart3.xml"/><Relationship Id="rId14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1.xlsx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_rels/chart3.xml.rels><?xml version="1.0" encoding="UTF-8" standalone="yes"?>
<Relationships xmlns="http://schemas.openxmlformats.org/package/2006/relationships"><Relationship Id="rId3" Type="http://schemas.openxmlformats.org/officeDocument/2006/relationships/oleObject" Target="file:///D:\LP\LP202512v1\TAS-FORM-003_AutoGC_Monthly_Data_Validation_202512LP.xlsx" TargetMode="External"/><Relationship Id="rId2" Type="http://schemas.microsoft.com/office/2011/relationships/chartColorStyle" Target="colors3.xml"/><Relationship Id="rId1" Type="http://schemas.microsoft.com/office/2011/relationships/chartStyle" Target="style3.xml"/></Relationships>
</file>

<file path=word/charts/_rels/chart4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2.xlsx"/><Relationship Id="rId2" Type="http://schemas.microsoft.com/office/2011/relationships/chartColorStyle" Target="colors4.xml"/><Relationship Id="rId1" Type="http://schemas.microsoft.com/office/2011/relationships/chartStyle" Target="style4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/>
                </a:solidFill>
                <a:latin typeface="+mn-lt"/>
                <a:ea typeface="+mn-ea"/>
                <a:cs typeface="+mn-cs"/>
              </a:defRPr>
            </a:pPr>
            <a:r>
              <a:rPr lang="en-US" sz="1400"/>
              <a:t>Monthly Data Validation</a:t>
            </a:r>
          </a:p>
        </c:rich>
      </c:tx>
      <c:layout>
        <c:manualLayout>
          <c:xMode val="edge"/>
          <c:yMode val="edge"/>
          <c:x val="0.19986407655155958"/>
          <c:y val="3.2979976442873968E-2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/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>
        <c:manualLayout>
          <c:layoutTarget val="inner"/>
          <c:xMode val="edge"/>
          <c:yMode val="edge"/>
          <c:x val="7.5491817441315119E-3"/>
          <c:y val="0.24225737740229281"/>
          <c:w val="0.58311587227145201"/>
          <c:h val="0.65729315637665431"/>
        </c:manualLayout>
      </c:layout>
      <c:pieChart>
        <c:varyColors val="1"/>
        <c:ser>
          <c:idx val="0"/>
          <c:order val="0"/>
          <c:tx>
            <c:strRef>
              <c:f>Sheet1!$C$1</c:f>
              <c:strCache>
                <c:ptCount val="1"/>
                <c:pt idx="0">
                  <c:v>Monthly Data Validation</c:v>
                </c:pt>
              </c:strCache>
            </c:strRef>
          </c:tx>
          <c:dPt>
            <c:idx val="0"/>
            <c:bubble3D val="0"/>
            <c:spPr>
              <a:solidFill>
                <a:srgbClr val="00B050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1-E41D-44FE-ADE0-7DB1DB0FACAD}"/>
              </c:ext>
            </c:extLst>
          </c:dPt>
          <c:dPt>
            <c:idx val="1"/>
            <c:bubble3D val="0"/>
            <c:spPr>
              <a:solidFill>
                <a:srgbClr val="0070C0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3-E41D-44FE-ADE0-7DB1DB0FACAD}"/>
              </c:ext>
            </c:extLst>
          </c:dPt>
          <c:dPt>
            <c:idx val="2"/>
            <c:bubble3D val="0"/>
            <c:spPr>
              <a:solidFill>
                <a:srgbClr val="FFC000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5-E41D-44FE-ADE0-7DB1DB0FACAD}"/>
              </c:ext>
            </c:extLst>
          </c:dPt>
          <c:dPt>
            <c:idx val="3"/>
            <c:bubble3D val="0"/>
            <c:explosion val="16"/>
            <c:spPr>
              <a:solidFill>
                <a:srgbClr val="EE0000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7-E41D-44FE-ADE0-7DB1DB0FACAD}"/>
              </c:ext>
            </c:extLst>
          </c:dPt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0" i="0" u="none" strike="noStrike" kern="1200" baseline="0">
                    <a:solidFill>
                      <a:schemeClr val="tx1"/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bestFit"/>
            <c:showLegendKey val="0"/>
            <c:showVal val="1"/>
            <c:showCatName val="0"/>
            <c:showSerName val="0"/>
            <c:showPercent val="1"/>
            <c:showBubbleSize val="0"/>
            <c:showLeaderLines val="1"/>
            <c:leaderLines>
              <c:spPr>
                <a:ln w="9525" cap="flat" cmpd="sng" algn="ctr">
                  <a:solidFill>
                    <a:schemeClr val="tx1">
                      <a:lumMod val="35000"/>
                      <a:lumOff val="65000"/>
                    </a:schemeClr>
                  </a:solidFill>
                  <a:round/>
                </a:ln>
                <a:effectLst/>
              </c:spPr>
            </c:leaderLines>
            <c:extLst>
              <c:ext xmlns:c15="http://schemas.microsoft.com/office/drawing/2012/chart" uri="{CE6537A1-D6FC-4f65-9D91-7224C49458BB}"/>
            </c:extLst>
          </c:dLbls>
          <c:cat>
            <c:strRef>
              <c:f>Sheet1!$A$2:$A$5</c:f>
              <c:strCache>
                <c:ptCount val="4"/>
                <c:pt idx="0">
                  <c:v>Valid Ambient Hours</c:v>
                </c:pt>
                <c:pt idx="1">
                  <c:v>QC Sampled Hours</c:v>
                </c:pt>
                <c:pt idx="2">
                  <c:v>PT/Experimental/Ambient Spike Hours</c:v>
                </c:pt>
                <c:pt idx="3">
                  <c:v>Nulled Ambient Hours</c:v>
                </c:pt>
              </c:strCache>
            </c:strRef>
          </c:cat>
          <c:val>
            <c:numRef>
              <c:f>Sheet1!$C$2:$C$5</c:f>
              <c:numCache>
                <c:formatCode>General</c:formatCode>
                <c:ptCount val="4"/>
                <c:pt idx="0">
                  <c:v>653</c:v>
                </c:pt>
                <c:pt idx="1">
                  <c:v>85</c:v>
                </c:pt>
                <c:pt idx="2">
                  <c:v>1</c:v>
                </c:pt>
                <c:pt idx="3">
                  <c:v>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8-E41D-44FE-ADE0-7DB1DB0FACAD}"/>
            </c:ext>
          </c:extLst>
        </c:ser>
        <c:ser>
          <c:idx val="1"/>
          <c:order val="1"/>
          <c:tx>
            <c:strRef>
              <c:f>Sheet1!$B$1</c:f>
              <c:strCache>
                <c:ptCount val="1"/>
                <c:pt idx="0">
                  <c:v>Column1</c:v>
                </c:pt>
              </c:strCache>
            </c:strRef>
          </c:tx>
          <c:dPt>
            <c:idx val="0"/>
            <c:bubble3D val="0"/>
            <c:spPr>
              <a:solidFill>
                <a:schemeClr val="accent1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A-E41D-44FE-ADE0-7DB1DB0FACAD}"/>
              </c:ext>
            </c:extLst>
          </c:dPt>
          <c:dPt>
            <c:idx val="1"/>
            <c:bubble3D val="0"/>
            <c:spPr>
              <a:solidFill>
                <a:schemeClr val="accent2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C-E41D-44FE-ADE0-7DB1DB0FACAD}"/>
              </c:ext>
            </c:extLst>
          </c:dPt>
          <c:dPt>
            <c:idx val="2"/>
            <c:bubble3D val="0"/>
            <c:spPr>
              <a:solidFill>
                <a:schemeClr val="accent3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E-E41D-44FE-ADE0-7DB1DB0FACAD}"/>
              </c:ext>
            </c:extLst>
          </c:dPt>
          <c:dPt>
            <c:idx val="3"/>
            <c:bubble3D val="0"/>
            <c:spPr>
              <a:solidFill>
                <a:schemeClr val="accent4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10-E41D-44FE-ADE0-7DB1DB0FACAD}"/>
              </c:ext>
            </c:extLst>
          </c:dPt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0" i="0" u="none" strike="noStrike" kern="1200" baseline="0">
                    <a:solidFill>
                      <a:schemeClr val="tx1"/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bestFit"/>
            <c:showLegendKey val="0"/>
            <c:showVal val="1"/>
            <c:showCatName val="0"/>
            <c:showSerName val="0"/>
            <c:showPercent val="0"/>
            <c:showBubbleSize val="0"/>
            <c:showLeaderLines val="1"/>
            <c:leaderLines>
              <c:spPr>
                <a:ln w="9525" cap="flat" cmpd="sng" algn="ctr">
                  <a:solidFill>
                    <a:schemeClr val="tx1">
                      <a:lumMod val="35000"/>
                      <a:lumOff val="65000"/>
                    </a:schemeClr>
                  </a:solidFill>
                  <a:round/>
                </a:ln>
                <a:effectLst/>
              </c:spPr>
            </c:leaderLines>
            <c:extLst>
              <c:ext xmlns:c15="http://schemas.microsoft.com/office/drawing/2012/chart" uri="{CE6537A1-D6FC-4f65-9D91-7224C49458BB}"/>
            </c:extLst>
          </c:dLbls>
          <c:val>
            <c:numRef>
              <c:f>Sheet1!$B$2:$B$5</c:f>
              <c:numCache>
                <c:formatCode>General</c:formatCode>
                <c:ptCount val="4"/>
                <c:pt idx="0">
                  <c:v>638</c:v>
                </c:pt>
                <c:pt idx="1">
                  <c:v>72</c:v>
                </c:pt>
                <c:pt idx="2">
                  <c:v>0</c:v>
                </c:pt>
                <c:pt idx="3">
                  <c:v>106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11-E41D-44FE-ADE0-7DB1DB0FACAD}"/>
            </c:ext>
          </c:extLst>
        </c:ser>
        <c:dLbls>
          <c:dLblPos val="bestFit"/>
          <c:showLegendKey val="0"/>
          <c:showVal val="1"/>
          <c:showCatName val="0"/>
          <c:showSerName val="0"/>
          <c:showPercent val="0"/>
          <c:showBubbleSize val="0"/>
          <c:showLeaderLines val="1"/>
        </c:dLbls>
        <c:firstSliceAng val="0"/>
      </c:pieChart>
      <c:spPr>
        <a:noFill/>
        <a:ln>
          <a:noFill/>
        </a:ln>
        <a:effectLst/>
      </c:spPr>
    </c:plotArea>
    <c:legend>
      <c:legendPos val="r"/>
      <c:layout>
        <c:manualLayout>
          <c:xMode val="edge"/>
          <c:yMode val="edge"/>
          <c:x val="0.65579213256650126"/>
          <c:y val="0.16091705851256227"/>
          <c:w val="0.3191294975275426"/>
          <c:h val="0.72650399265462839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/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noFill/>
      <a:round/>
    </a:ln>
    <a:effectLst/>
  </c:spPr>
  <c:txPr>
    <a:bodyPr/>
    <a:lstStyle/>
    <a:p>
      <a:pPr>
        <a:defRPr>
          <a:solidFill>
            <a:schemeClr val="tx1"/>
          </a:solidFill>
        </a:defRPr>
      </a:pPr>
      <a:endParaRPr lang="en-US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/>
              <a:t>Whole Null Coded </a:t>
            </a:r>
          </a:p>
          <a:p>
            <a:pPr>
              <a:defRPr/>
            </a:pPr>
            <a:r>
              <a:rPr lang="en-US"/>
              <a:t>Ambient Hours</a:t>
            </a:r>
          </a:p>
        </c:rich>
      </c:tx>
      <c:layout>
        <c:manualLayout>
          <c:xMode val="edge"/>
          <c:yMode val="edge"/>
          <c:x val="0"/>
          <c:y val="3.3802816901408447E-2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>
        <c:manualLayout>
          <c:layoutTarget val="inner"/>
          <c:xMode val="edge"/>
          <c:yMode val="edge"/>
          <c:x val="1.906534846083536E-3"/>
          <c:y val="0.21621772663032507"/>
          <c:w val="0.61767871667798702"/>
          <c:h val="0.59487211790833827"/>
        </c:manualLayout>
      </c:layout>
      <c:pieChart>
        <c:varyColors val="1"/>
        <c:ser>
          <c:idx val="0"/>
          <c:order val="0"/>
          <c:tx>
            <c:strRef>
              <c:f>Sheet1!$B$1</c:f>
              <c:strCache>
                <c:ptCount val="1"/>
                <c:pt idx="0">
                  <c:v>Whole Null Coded Ambient Hours</c:v>
                </c:pt>
              </c:strCache>
            </c:strRef>
          </c:tx>
          <c:dPt>
            <c:idx val="0"/>
            <c:bubble3D val="0"/>
            <c:spPr>
              <a:solidFill>
                <a:schemeClr val="tx2">
                  <a:lumMod val="50000"/>
                  <a:lumOff val="5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1-3E5A-485E-96E3-537E3978E84E}"/>
              </c:ext>
            </c:extLst>
          </c:dPt>
          <c:dPt>
            <c:idx val="1"/>
            <c:bubble3D val="0"/>
            <c:spPr>
              <a:solidFill>
                <a:schemeClr val="accent2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3-3E5A-485E-96E3-537E3978E84E}"/>
              </c:ext>
            </c:extLst>
          </c:dPt>
          <c:dPt>
            <c:idx val="2"/>
            <c:bubble3D val="0"/>
            <c:spPr>
              <a:solidFill>
                <a:srgbClr val="C00000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5-3E5A-485E-96E3-537E3978E84E}"/>
              </c:ext>
            </c:extLst>
          </c:dPt>
          <c:dPt>
            <c:idx val="3"/>
            <c:bubble3D val="0"/>
            <c:spPr>
              <a:solidFill>
                <a:schemeClr val="accent1">
                  <a:lumMod val="40000"/>
                  <a:lumOff val="6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7-3E5A-485E-96E3-537E3978E84E}"/>
              </c:ext>
            </c:extLst>
          </c:dPt>
          <c:dPt>
            <c:idx val="4"/>
            <c:bubble3D val="0"/>
            <c:spPr>
              <a:solidFill>
                <a:schemeClr val="accent5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9-3E5A-485E-96E3-537E3978E84E}"/>
              </c:ext>
            </c:extLst>
          </c:dPt>
          <c:dPt>
            <c:idx val="5"/>
            <c:bubble3D val="0"/>
            <c:spPr>
              <a:solidFill>
                <a:srgbClr val="EE0000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B-3E5A-485E-96E3-537E3978E84E}"/>
              </c:ext>
            </c:extLst>
          </c:dPt>
          <c:dPt>
            <c:idx val="6"/>
            <c:bubble3D val="0"/>
            <c:spPr>
              <a:solidFill>
                <a:srgbClr val="92D050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D-3E5A-485E-96E3-537E3978E84E}"/>
              </c:ext>
            </c:extLst>
          </c:dPt>
          <c:dPt>
            <c:idx val="7"/>
            <c:bubble3D val="0"/>
            <c:spPr>
              <a:solidFill>
                <a:schemeClr val="accent2">
                  <a:lumMod val="6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F-3E5A-485E-96E3-537E3978E84E}"/>
              </c:ext>
            </c:extLst>
          </c:dPt>
          <c:dPt>
            <c:idx val="8"/>
            <c:bubble3D val="0"/>
            <c:spPr>
              <a:solidFill>
                <a:schemeClr val="accent3">
                  <a:lumMod val="6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11-961D-404E-B180-FC76BEBC5FB7}"/>
              </c:ext>
            </c:extLst>
          </c:dPt>
          <c:dPt>
            <c:idx val="9"/>
            <c:bubble3D val="0"/>
            <c:spPr>
              <a:solidFill>
                <a:schemeClr val="accent4">
                  <a:lumMod val="6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13-D997-47D2-A0A6-1110CB28643B}"/>
              </c:ext>
            </c:extLst>
          </c:dPt>
          <c:dPt>
            <c:idx val="10"/>
            <c:bubble3D val="0"/>
            <c:spPr>
              <a:solidFill>
                <a:schemeClr val="accent5">
                  <a:lumMod val="6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15-D997-47D2-A0A6-1110CB28643B}"/>
              </c:ext>
            </c:extLst>
          </c:dPt>
          <c:dPt>
            <c:idx val="11"/>
            <c:bubble3D val="0"/>
            <c:spPr>
              <a:solidFill>
                <a:schemeClr val="accent6">
                  <a:lumMod val="6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17-D553-46D7-A812-B659B5913612}"/>
              </c:ext>
            </c:extLst>
          </c:dPt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bestFit"/>
            <c:showLegendKey val="0"/>
            <c:showVal val="1"/>
            <c:showCatName val="0"/>
            <c:showSerName val="0"/>
            <c:showPercent val="1"/>
            <c:showBubbleSize val="0"/>
            <c:showLeaderLines val="1"/>
            <c:leaderLines>
              <c:spPr>
                <a:ln w="9525" cap="flat" cmpd="sng" algn="ctr">
                  <a:solidFill>
                    <a:schemeClr val="tx1">
                      <a:lumMod val="35000"/>
                      <a:lumOff val="65000"/>
                    </a:schemeClr>
                  </a:solidFill>
                  <a:round/>
                </a:ln>
                <a:effectLst/>
              </c:spPr>
            </c:leaderLines>
            <c:extLst>
              <c:ext xmlns:c15="http://schemas.microsoft.com/office/drawing/2012/chart" uri="{CE6537A1-D6FC-4f65-9D91-7224C49458BB}"/>
            </c:extLst>
          </c:dLbls>
          <c:cat>
            <c:strRef>
              <c:f>Sheet1!$A$2:$A$13</c:f>
              <c:strCache>
                <c:ptCount val="12"/>
                <c:pt idx="0">
                  <c:v>Machine Malfunction (AN)</c:v>
                </c:pt>
                <c:pt idx="1">
                  <c:v>Power Failure (AV)</c:v>
                </c:pt>
                <c:pt idx="2">
                  <c:v>Maintenance/Repairs (BA)</c:v>
                </c:pt>
                <c:pt idx="3">
                  <c:v>Operator Error (BJ)</c:v>
                </c:pt>
                <c:pt idx="4">
                  <c:v>Site computer down (BK)</c:v>
                </c:pt>
                <c:pt idx="5">
                  <c:v>Poor QA Results (AS)</c:v>
                </c:pt>
                <c:pt idx="6">
                  <c:v>Interference (BH)</c:v>
                </c:pt>
                <c:pt idx="7">
                  <c:v>Shelter Temperature Issues (AE)</c:v>
                </c:pt>
                <c:pt idx="8">
                  <c:v>Aberrant Data (DA)</c:v>
                </c:pt>
                <c:pt idx="9">
                  <c:v>Invalid Sample Time (AI)</c:v>
                </c:pt>
                <c:pt idx="10">
                  <c:v>Miscelaneous Void (AM)</c:v>
                </c:pt>
                <c:pt idx="11">
                  <c:v>Lost (AF)</c:v>
                </c:pt>
              </c:strCache>
            </c:strRef>
          </c:cat>
          <c:val>
            <c:numRef>
              <c:f>Sheet1!$B$2:$B$13</c:f>
              <c:numCache>
                <c:formatCode>General</c:formatCode>
                <c:ptCount val="12"/>
                <c:pt idx="8">
                  <c:v>1</c:v>
                </c:pt>
                <c:pt idx="10">
                  <c:v>4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10-3E5A-485E-96E3-537E3978E84E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  <c:showLeaderLines val="1"/>
        </c:dLbls>
        <c:firstSliceAng val="0"/>
      </c:pieChart>
      <c:spPr>
        <a:noFill/>
        <a:ln>
          <a:noFill/>
        </a:ln>
        <a:effectLst/>
      </c:spPr>
    </c:plotArea>
    <c:legend>
      <c:legendPos val="r"/>
      <c:layout>
        <c:manualLayout>
          <c:xMode val="edge"/>
          <c:yMode val="edge"/>
          <c:x val="0.62592840431687258"/>
          <c:y val="2.3046837455177261E-2"/>
          <c:w val="0.3365885973518486"/>
          <c:h val="0.9587259620716424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8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noFill/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/>
                </a:solidFill>
                <a:latin typeface="+mn-lt"/>
                <a:ea typeface="+mn-ea"/>
                <a:cs typeface="+mn-cs"/>
              </a:defRPr>
            </a:pPr>
            <a:r>
              <a:rPr lang="en-US">
                <a:solidFill>
                  <a:schemeClr val="tx1"/>
                </a:solidFill>
              </a:rPr>
              <a:t>CVS Recovery Distribution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/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scatterChart>
        <c:scatterStyle val="lineMarker"/>
        <c:varyColors val="0"/>
        <c:ser>
          <c:idx val="0"/>
          <c:order val="0"/>
          <c:tx>
            <c:v>Propane</c:v>
          </c:tx>
          <c:spPr>
            <a:ln w="25400" cap="rnd">
              <a:noFill/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xVal>
            <c:numRef>
              <c:f>Calculations!$B$6:$B$39</c:f>
              <c:numCache>
                <c:formatCode>General</c:formatCode>
                <c:ptCount val="34"/>
                <c:pt idx="0">
                  <c:v>1.3846000000000001</c:v>
                </c:pt>
                <c:pt idx="1">
                  <c:v>1.4218</c:v>
                </c:pt>
                <c:pt idx="2">
                  <c:v>1.3707</c:v>
                </c:pt>
                <c:pt idx="3">
                  <c:v>1.3668</c:v>
                </c:pt>
                <c:pt idx="4">
                  <c:v>1.3883000000000001</c:v>
                </c:pt>
                <c:pt idx="5">
                  <c:v>1.4224000000000001</c:v>
                </c:pt>
                <c:pt idx="6">
                  <c:v>1.3358000000000001</c:v>
                </c:pt>
                <c:pt idx="7">
                  <c:v>1.3355999999999999</c:v>
                </c:pt>
                <c:pt idx="8">
                  <c:v>1.4577</c:v>
                </c:pt>
                <c:pt idx="9">
                  <c:v>1.3732</c:v>
                </c:pt>
                <c:pt idx="10">
                  <c:v>1.3906000000000001</c:v>
                </c:pt>
                <c:pt idx="11">
                  <c:v>1.3776999999999999</c:v>
                </c:pt>
                <c:pt idx="12">
                  <c:v>1.3828</c:v>
                </c:pt>
                <c:pt idx="13">
                  <c:v>1.4317</c:v>
                </c:pt>
                <c:pt idx="14">
                  <c:v>1.3974</c:v>
                </c:pt>
                <c:pt idx="15">
                  <c:v>1.3627</c:v>
                </c:pt>
                <c:pt idx="16">
                  <c:v>1.4342999999999999</c:v>
                </c:pt>
                <c:pt idx="17">
                  <c:v>1.3757999999999999</c:v>
                </c:pt>
                <c:pt idx="18">
                  <c:v>1.4698</c:v>
                </c:pt>
                <c:pt idx="19">
                  <c:v>1.3351999999999999</c:v>
                </c:pt>
                <c:pt idx="20">
                  <c:v>1.3793</c:v>
                </c:pt>
                <c:pt idx="21">
                  <c:v>1.4454</c:v>
                </c:pt>
                <c:pt idx="22">
                  <c:v>1.353</c:v>
                </c:pt>
                <c:pt idx="23">
                  <c:v>1.3577999999999999</c:v>
                </c:pt>
                <c:pt idx="24">
                  <c:v>1.3485</c:v>
                </c:pt>
                <c:pt idx="25">
                  <c:v>1.3754</c:v>
                </c:pt>
                <c:pt idx="26">
                  <c:v>1.4204000000000001</c:v>
                </c:pt>
                <c:pt idx="27">
                  <c:v>1.4278</c:v>
                </c:pt>
                <c:pt idx="29">
                  <c:v>1.3984000000000001</c:v>
                </c:pt>
                <c:pt idx="30">
                  <c:v>1.4124000000000001</c:v>
                </c:pt>
                <c:pt idx="31">
                  <c:v>1.407</c:v>
                </c:pt>
                <c:pt idx="32">
                  <c:v>1.4054</c:v>
                </c:pt>
                <c:pt idx="33">
                  <c:v>1.3773</c:v>
                </c:pt>
              </c:numCache>
            </c:numRef>
          </c:xVal>
          <c:yVal>
            <c:numRef>
              <c:f>Calculations!$C$6:$C$39</c:f>
              <c:numCache>
                <c:formatCode>General</c:formatCode>
                <c:ptCount val="34"/>
                <c:pt idx="0">
                  <c:v>11.642759032422141</c:v>
                </c:pt>
                <c:pt idx="1">
                  <c:v>7.9756784296926773</c:v>
                </c:pt>
                <c:pt idx="2">
                  <c:v>9.7692289483224624</c:v>
                </c:pt>
                <c:pt idx="3">
                  <c:v>9.0164386539295176</c:v>
                </c:pt>
                <c:pt idx="4">
                  <c:v>11.850167176206147</c:v>
                </c:pt>
                <c:pt idx="5">
                  <c:v>7.8473806095277991</c:v>
                </c:pt>
                <c:pt idx="6">
                  <c:v>2.9420853984906175</c:v>
                </c:pt>
                <c:pt idx="7">
                  <c:v>2.9127865131661803</c:v>
                </c:pt>
                <c:pt idx="8">
                  <c:v>1.7174995446142076</c:v>
                </c:pt>
                <c:pt idx="9">
                  <c:v>10.211392635395708</c:v>
                </c:pt>
                <c:pt idx="10">
                  <c:v>11.907439130940444</c:v>
                </c:pt>
                <c:pt idx="11">
                  <c:v>10.904051028184387</c:v>
                </c:pt>
                <c:pt idx="12">
                  <c:v>11.492317822740516</c:v>
                </c:pt>
                <c:pt idx="13">
                  <c:v>5.8576788571210692</c:v>
                </c:pt>
                <c:pt idx="14">
                  <c:v>11.749594467559614</c:v>
                </c:pt>
                <c:pt idx="15">
                  <c:v>8.1671497443360916</c:v>
                </c:pt>
                <c:pt idx="16">
                  <c:v>5.3238688764926909</c:v>
                </c:pt>
                <c:pt idx="17">
                  <c:v>10.629435322074887</c:v>
                </c:pt>
                <c:pt idx="18">
                  <c:v>0.79000307383937185</c:v>
                </c:pt>
                <c:pt idx="19">
                  <c:v>2.8547555633879469</c:v>
                </c:pt>
                <c:pt idx="20">
                  <c:v>11.113010667835272</c:v>
                </c:pt>
                <c:pt idx="21">
                  <c:v>3.308308676304871</c:v>
                </c:pt>
                <c:pt idx="22">
                  <c:v>6.0882732318674284</c:v>
                </c:pt>
                <c:pt idx="23">
                  <c:v>7.1150921881109337</c:v>
                </c:pt>
                <c:pt idx="24">
                  <c:v>5.1633528938932391</c:v>
                </c:pt>
                <c:pt idx="25">
                  <c:v>10.568171358025944</c:v>
                </c:pt>
                <c:pt idx="26">
                  <c:v>8.2729186271130288</c:v>
                </c:pt>
                <c:pt idx="27">
                  <c:v>6.6844023623872362</c:v>
                </c:pt>
                <c:pt idx="29">
                  <c:v>11.685834785318374</c:v>
                </c:pt>
                <c:pt idx="30">
                  <c:v>9.8604997149392464</c:v>
                </c:pt>
                <c:pt idx="31">
                  <c:v>10.74842762136883</c:v>
                </c:pt>
                <c:pt idx="32">
                  <c:v>10.971616400911488</c:v>
                </c:pt>
                <c:pt idx="33">
                  <c:v>10.848556408834458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9822-4F23-A702-D81D252C46E6}"/>
            </c:ext>
          </c:extLst>
        </c:ser>
        <c:ser>
          <c:idx val="1"/>
          <c:order val="1"/>
          <c:tx>
            <c:v>Toluene</c:v>
          </c:tx>
          <c:spPr>
            <a:ln w="25400" cap="rnd">
              <a:noFill/>
              <a:round/>
            </a:ln>
            <a:effectLst/>
          </c:spPr>
          <c:marker>
            <c:symbol val="circle"/>
            <c:size val="5"/>
            <c:spPr>
              <a:solidFill>
                <a:schemeClr val="accent2"/>
              </a:solidFill>
              <a:ln w="9525">
                <a:solidFill>
                  <a:schemeClr val="accent2"/>
                </a:solidFill>
              </a:ln>
              <a:effectLst/>
            </c:spPr>
          </c:marker>
          <c:xVal>
            <c:numRef>
              <c:f>Calculations!$E$6:$E$39</c:f>
              <c:numCache>
                <c:formatCode>General</c:formatCode>
                <c:ptCount val="34"/>
                <c:pt idx="0">
                  <c:v>1.355</c:v>
                </c:pt>
                <c:pt idx="1">
                  <c:v>1.4061999999999999</c:v>
                </c:pt>
                <c:pt idx="2">
                  <c:v>1.3753</c:v>
                </c:pt>
                <c:pt idx="3">
                  <c:v>1.3751</c:v>
                </c:pt>
                <c:pt idx="4">
                  <c:v>1.4463999999999999</c:v>
                </c:pt>
                <c:pt idx="5">
                  <c:v>1.3781000000000001</c:v>
                </c:pt>
                <c:pt idx="6">
                  <c:v>1.3456999999999999</c:v>
                </c:pt>
                <c:pt idx="7">
                  <c:v>1.43</c:v>
                </c:pt>
                <c:pt idx="8">
                  <c:v>1.3640000000000001</c:v>
                </c:pt>
                <c:pt idx="9">
                  <c:v>1.3597999999999999</c:v>
                </c:pt>
                <c:pt idx="10">
                  <c:v>1.4079999999999999</c:v>
                </c:pt>
                <c:pt idx="11">
                  <c:v>1.3677999999999999</c:v>
                </c:pt>
                <c:pt idx="12">
                  <c:v>1.3723000000000001</c:v>
                </c:pt>
                <c:pt idx="13">
                  <c:v>1.3912</c:v>
                </c:pt>
                <c:pt idx="14">
                  <c:v>1.4686999999999999</c:v>
                </c:pt>
                <c:pt idx="15">
                  <c:v>1.4165000000000001</c:v>
                </c:pt>
                <c:pt idx="16">
                  <c:v>1.3761000000000001</c:v>
                </c:pt>
                <c:pt idx="17">
                  <c:v>1.3582000000000001</c:v>
                </c:pt>
                <c:pt idx="18">
                  <c:v>1.4173</c:v>
                </c:pt>
                <c:pt idx="19">
                  <c:v>1.3334999999999999</c:v>
                </c:pt>
                <c:pt idx="20">
                  <c:v>1.3392999999999999</c:v>
                </c:pt>
                <c:pt idx="21">
                  <c:v>1.3593999999999999</c:v>
                </c:pt>
                <c:pt idx="22">
                  <c:v>1.3593999999999999</c:v>
                </c:pt>
                <c:pt idx="23">
                  <c:v>1.4517</c:v>
                </c:pt>
                <c:pt idx="24">
                  <c:v>1.3692</c:v>
                </c:pt>
                <c:pt idx="25">
                  <c:v>1.3662000000000001</c:v>
                </c:pt>
                <c:pt idx="26">
                  <c:v>1.3738999999999999</c:v>
                </c:pt>
                <c:pt idx="27">
                  <c:v>1.3573999999999999</c:v>
                </c:pt>
                <c:pt idx="29">
                  <c:v>1.35</c:v>
                </c:pt>
                <c:pt idx="30">
                  <c:v>1.4115</c:v>
                </c:pt>
                <c:pt idx="31">
                  <c:v>1.3485</c:v>
                </c:pt>
                <c:pt idx="32">
                  <c:v>1.4297</c:v>
                </c:pt>
                <c:pt idx="33">
                  <c:v>1.4450000000000001</c:v>
                </c:pt>
              </c:numCache>
            </c:numRef>
          </c:xVal>
          <c:yVal>
            <c:numRef>
              <c:f>Calculations!$F$6:$F$39</c:f>
              <c:numCache>
                <c:formatCode>General</c:formatCode>
                <c:ptCount val="34"/>
                <c:pt idx="0">
                  <c:v>7.3578157195447087</c:v>
                </c:pt>
                <c:pt idx="1">
                  <c:v>9.6559522356976011</c:v>
                </c:pt>
                <c:pt idx="2">
                  <c:v>10.415058525207371</c:v>
                </c:pt>
                <c:pt idx="3">
                  <c:v>10.395421349728847</c:v>
                </c:pt>
                <c:pt idx="4">
                  <c:v>2.9352951090083335</c:v>
                </c:pt>
                <c:pt idx="5">
                  <c:v>10.659631648167588</c:v>
                </c:pt>
                <c:pt idx="6">
                  <c:v>5.6483643803887329</c:v>
                </c:pt>
                <c:pt idx="7">
                  <c:v>5.538700847140186</c:v>
                </c:pt>
                <c:pt idx="8">
                  <c:v>8.9235041044388161</c:v>
                </c:pt>
                <c:pt idx="9">
                  <c:v>8.2182821836070445</c:v>
                </c:pt>
                <c:pt idx="10">
                  <c:v>9.3996445313397814</c:v>
                </c:pt>
                <c:pt idx="11">
                  <c:v>9.5025261820593752</c:v>
                </c:pt>
                <c:pt idx="12">
                  <c:v>10.091907992949972</c:v>
                </c:pt>
                <c:pt idx="13">
                  <c:v>10.973220929467756</c:v>
                </c:pt>
                <c:pt idx="14">
                  <c:v>0.89013336303609658</c:v>
                </c:pt>
                <c:pt idx="15">
                  <c:v>8.0058535889555706</c:v>
                </c:pt>
                <c:pt idx="16">
                  <c:v>10.490771024788309</c:v>
                </c:pt>
                <c:pt idx="17">
                  <c:v>7.9363372056593215</c:v>
                </c:pt>
                <c:pt idx="18">
                  <c:v>7.8634377751342459</c:v>
                </c:pt>
                <c:pt idx="19">
                  <c:v>3.6120686625588592</c:v>
                </c:pt>
                <c:pt idx="20">
                  <c:v>4.5313295209628643</c:v>
                </c:pt>
                <c:pt idx="21">
                  <c:v>8.1483651288762751</c:v>
                </c:pt>
                <c:pt idx="22">
                  <c:v>8.1483651288762751</c:v>
                </c:pt>
                <c:pt idx="23">
                  <c:v>2.2879525016952948</c:v>
                </c:pt>
                <c:pt idx="24">
                  <c:v>9.6981754400977813</c:v>
                </c:pt>
                <c:pt idx="25">
                  <c:v>9.2667409862611549</c:v>
                </c:pt>
                <c:pt idx="26">
                  <c:v>10.271776406405895</c:v>
                </c:pt>
                <c:pt idx="27">
                  <c:v>7.7932925115686631</c:v>
                </c:pt>
                <c:pt idx="29">
                  <c:v>6.4355073482729166</c:v>
                </c:pt>
                <c:pt idx="30">
                  <c:v>8.8575657141226625</c:v>
                </c:pt>
                <c:pt idx="31">
                  <c:v>6.1590641503598684</c:v>
                </c:pt>
                <c:pt idx="32">
                  <c:v>5.5926894968629552</c:v>
                </c:pt>
                <c:pt idx="33">
                  <c:v>3.1237577284993674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1-9822-4F23-A702-D81D252C46E6}"/>
            </c:ext>
          </c:extLst>
        </c:ser>
        <c:ser>
          <c:idx val="2"/>
          <c:order val="2"/>
          <c:tx>
            <c:v>Target</c:v>
          </c:tx>
          <c:spPr>
            <a:ln w="25400" cap="rnd">
              <a:solidFill>
                <a:schemeClr val="accent6"/>
              </a:solidFill>
              <a:round/>
            </a:ln>
            <a:effectLst/>
          </c:spPr>
          <c:marker>
            <c:symbol val="none"/>
          </c:marker>
          <c:xVal>
            <c:numRef>
              <c:f>Calculations!$I$24:$I$45</c:f>
              <c:numCache>
                <c:formatCode>General</c:formatCode>
                <c:ptCount val="22"/>
                <c:pt idx="0">
                  <c:v>1.3566</c:v>
                </c:pt>
                <c:pt idx="1">
                  <c:v>1.3566</c:v>
                </c:pt>
                <c:pt idx="2">
                  <c:v>1.3566</c:v>
                </c:pt>
                <c:pt idx="3">
                  <c:v>1.3566</c:v>
                </c:pt>
                <c:pt idx="4">
                  <c:v>1.3566</c:v>
                </c:pt>
                <c:pt idx="5">
                  <c:v>1.3566</c:v>
                </c:pt>
                <c:pt idx="6">
                  <c:v>1.3566</c:v>
                </c:pt>
                <c:pt idx="7">
                  <c:v>1.3566</c:v>
                </c:pt>
                <c:pt idx="8">
                  <c:v>1.3566</c:v>
                </c:pt>
                <c:pt idx="9">
                  <c:v>1.3566</c:v>
                </c:pt>
                <c:pt idx="10">
                  <c:v>1.3566</c:v>
                </c:pt>
                <c:pt idx="11">
                  <c:v>1.3566</c:v>
                </c:pt>
                <c:pt idx="12">
                  <c:v>1.3566</c:v>
                </c:pt>
                <c:pt idx="13">
                  <c:v>1.3566</c:v>
                </c:pt>
                <c:pt idx="14">
                  <c:v>1.3566</c:v>
                </c:pt>
                <c:pt idx="15">
                  <c:v>1.3566</c:v>
                </c:pt>
                <c:pt idx="16">
                  <c:v>1.3566</c:v>
                </c:pt>
                <c:pt idx="17">
                  <c:v>1.3566</c:v>
                </c:pt>
                <c:pt idx="18">
                  <c:v>1.3566</c:v>
                </c:pt>
                <c:pt idx="19">
                  <c:v>1.3566</c:v>
                </c:pt>
                <c:pt idx="20">
                  <c:v>1.3566</c:v>
                </c:pt>
                <c:pt idx="21">
                  <c:v>1.3566</c:v>
                </c:pt>
              </c:numCache>
            </c:numRef>
          </c:xVal>
          <c:yVal>
            <c:numRef>
              <c:f>Calculations!$H$24:$H$45</c:f>
              <c:numCache>
                <c:formatCode>General</c:formatCode>
                <c:ptCount val="22"/>
                <c:pt idx="0">
                  <c:v>0</c:v>
                </c:pt>
                <c:pt idx="1">
                  <c:v>1</c:v>
                </c:pt>
                <c:pt idx="2">
                  <c:v>2</c:v>
                </c:pt>
                <c:pt idx="3">
                  <c:v>3</c:v>
                </c:pt>
                <c:pt idx="4">
                  <c:v>4</c:v>
                </c:pt>
                <c:pt idx="5">
                  <c:v>5</c:v>
                </c:pt>
                <c:pt idx="6">
                  <c:v>6</c:v>
                </c:pt>
                <c:pt idx="7">
                  <c:v>7</c:v>
                </c:pt>
                <c:pt idx="8">
                  <c:v>8</c:v>
                </c:pt>
                <c:pt idx="9">
                  <c:v>9</c:v>
                </c:pt>
                <c:pt idx="10">
                  <c:v>10</c:v>
                </c:pt>
                <c:pt idx="11">
                  <c:v>11</c:v>
                </c:pt>
                <c:pt idx="12">
                  <c:v>12</c:v>
                </c:pt>
                <c:pt idx="13">
                  <c:v>13</c:v>
                </c:pt>
                <c:pt idx="14">
                  <c:v>14</c:v>
                </c:pt>
                <c:pt idx="15">
                  <c:v>15</c:v>
                </c:pt>
                <c:pt idx="16">
                  <c:v>16</c:v>
                </c:pt>
                <c:pt idx="17">
                  <c:v>17</c:v>
                </c:pt>
                <c:pt idx="18">
                  <c:v>18</c:v>
                </c:pt>
                <c:pt idx="19">
                  <c:v>19</c:v>
                </c:pt>
                <c:pt idx="20">
                  <c:v>20</c:v>
                </c:pt>
                <c:pt idx="21">
                  <c:v>21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2-9822-4F23-A702-D81D252C46E6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934036184"/>
        <c:axId val="934035824"/>
      </c:scatterChart>
      <c:valAx>
        <c:axId val="934036184"/>
        <c:scaling>
          <c:orientation val="minMax"/>
        </c:scaling>
        <c:delete val="0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/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>
                    <a:solidFill>
                      <a:schemeClr val="tx1"/>
                    </a:solidFill>
                  </a:rPr>
                  <a:t>CVS</a:t>
                </a:r>
                <a:r>
                  <a:rPr lang="en-US" baseline="0">
                    <a:solidFill>
                      <a:schemeClr val="tx1"/>
                    </a:solidFill>
                  </a:rPr>
                  <a:t> concentration (ppbC)</a:t>
                </a:r>
                <a:endParaRPr lang="en-US">
                  <a:solidFill>
                    <a:schemeClr val="tx1"/>
                  </a:solidFill>
                </a:endParaRP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/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out"/>
        <c:minorTickMark val="none"/>
        <c:tickLblPos val="nextTo"/>
        <c:spPr>
          <a:noFill/>
          <a:ln w="9525" cap="flat" cmpd="sng" algn="ctr">
            <a:solidFill>
              <a:schemeClr val="tx1"/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/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934035824"/>
        <c:crosses val="autoZero"/>
        <c:crossBetween val="midCat"/>
      </c:valAx>
      <c:valAx>
        <c:axId val="934035824"/>
        <c:scaling>
          <c:orientation val="minMax"/>
          <c:max val="20"/>
        </c:scaling>
        <c:delete val="0"/>
        <c:axPos val="l"/>
        <c:numFmt formatCode="General" sourceLinked="1"/>
        <c:majorTickMark val="out"/>
        <c:minorTickMark val="none"/>
        <c:tickLblPos val="nextTo"/>
        <c:spPr>
          <a:noFill/>
          <a:ln w="9525" cap="flat" cmpd="sng" algn="ctr">
            <a:solidFill>
              <a:schemeClr val="tx1"/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bg1"/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934036184"/>
        <c:crosses val="autoZero"/>
        <c:crossBetween val="midCat"/>
      </c:valAx>
      <c:spPr>
        <a:noFill/>
        <a:ln>
          <a:solidFill>
            <a:schemeClr val="tx1"/>
          </a:solidFill>
        </a:ln>
        <a:effectLst/>
      </c:spPr>
    </c:plotArea>
    <c:legend>
      <c:legendPos val="b"/>
      <c:layout>
        <c:manualLayout>
          <c:xMode val="edge"/>
          <c:yMode val="edge"/>
          <c:x val="0.13986367592591248"/>
          <c:y val="0.89409667541557303"/>
          <c:w val="0.68227569081083905"/>
          <c:h val="7.8125546806649182E-2"/>
        </c:manualLayout>
      </c:layout>
      <c:overlay val="0"/>
      <c:spPr>
        <a:noFill/>
        <a:ln>
          <a:solidFill>
            <a:schemeClr val="tx1"/>
          </a:solidFill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/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4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/>
              <a:t>QC</a:t>
            </a:r>
            <a:r>
              <a:rPr lang="en-US" baseline="0"/>
              <a:t> Recoveries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>
        <c:manualLayout>
          <c:layoutTarget val="inner"/>
          <c:xMode val="edge"/>
          <c:yMode val="edge"/>
          <c:x val="0.11075429491768074"/>
          <c:y val="0.21690058479532165"/>
          <c:w val="0.84329038415652591"/>
          <c:h val="0.38737634315047637"/>
        </c:manualLayout>
      </c:layout>
      <c:lineChart>
        <c:grouping val="standar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CVS (Propane)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cat>
            <c:numRef>
              <c:f>Sheet1!$A$2:$A$6</c:f>
              <c:numCache>
                <c:formatCode>m/d/yyyy\ h:mm</c:formatCode>
                <c:ptCount val="5"/>
                <c:pt idx="0">
                  <c:v>45997.916666666664</c:v>
                </c:pt>
                <c:pt idx="1">
                  <c:v>46004.916666666664</c:v>
                </c:pt>
                <c:pt idx="2">
                  <c:v>46011.916666666664</c:v>
                </c:pt>
                <c:pt idx="3">
                  <c:v>46018.916666666664</c:v>
                </c:pt>
              </c:numCache>
            </c:numRef>
          </c:cat>
          <c:val>
            <c:numRef>
              <c:f>Sheet1!$B$2:$B$6</c:f>
              <c:numCache>
                <c:formatCode>General</c:formatCode>
                <c:ptCount val="5"/>
                <c:pt idx="0">
                  <c:v>104.85036119711042</c:v>
                </c:pt>
                <c:pt idx="1">
                  <c:v>105.53589856995427</c:v>
                </c:pt>
                <c:pt idx="2">
                  <c:v>106.5457762052189</c:v>
                </c:pt>
                <c:pt idx="3">
                  <c:v>104.11322423706324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9F20-4A9E-A6BF-C4DF8FF5413E}"/>
            </c:ext>
          </c:extLst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CVS (Toluene)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cat>
            <c:numRef>
              <c:f>Sheet1!$A$2:$A$6</c:f>
              <c:numCache>
                <c:formatCode>m/d/yyyy\ h:mm</c:formatCode>
                <c:ptCount val="5"/>
                <c:pt idx="0">
                  <c:v>45997.916666666664</c:v>
                </c:pt>
                <c:pt idx="1">
                  <c:v>46004.916666666664</c:v>
                </c:pt>
                <c:pt idx="2">
                  <c:v>46011.916666666664</c:v>
                </c:pt>
                <c:pt idx="3">
                  <c:v>46018.916666666664</c:v>
                </c:pt>
              </c:numCache>
            </c:numRef>
          </c:cat>
          <c:val>
            <c:numRef>
              <c:f>Sheet1!$C$2:$C$6</c:f>
              <c:numCache>
                <c:formatCode>General</c:formatCode>
                <c:ptCount val="5"/>
                <c:pt idx="0">
                  <c:v>101.58484446410144</c:v>
                </c:pt>
                <c:pt idx="1">
                  <c:v>102.55049388176323</c:v>
                </c:pt>
                <c:pt idx="2">
                  <c:v>100.2063983488132</c:v>
                </c:pt>
                <c:pt idx="3">
                  <c:v>104.04688191065901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9F20-4A9E-A6BF-C4DF8FF5413E}"/>
            </c:ext>
          </c:extLst>
        </c:ser>
        <c:ser>
          <c:idx val="2"/>
          <c:order val="2"/>
          <c:tx>
            <c:strRef>
              <c:f>Sheet1!$D$1</c:f>
              <c:strCache>
                <c:ptCount val="1"/>
                <c:pt idx="0">
                  <c:v>LCS (Propane)</c:v>
                </c:pt>
              </c:strCache>
            </c:strRef>
          </c:tx>
          <c:spPr>
            <a:ln w="28575" cap="rnd">
              <a:solidFill>
                <a:schemeClr val="accent3"/>
              </a:solidFill>
              <a:round/>
            </a:ln>
            <a:effectLst/>
          </c:spPr>
          <c:marker>
            <c:symbol val="none"/>
          </c:marker>
          <c:cat>
            <c:numRef>
              <c:f>Sheet1!$A$2:$A$6</c:f>
              <c:numCache>
                <c:formatCode>m/d/yyyy\ h:mm</c:formatCode>
                <c:ptCount val="5"/>
                <c:pt idx="0">
                  <c:v>45997.916666666664</c:v>
                </c:pt>
                <c:pt idx="1">
                  <c:v>46004.916666666664</c:v>
                </c:pt>
                <c:pt idx="2">
                  <c:v>46011.916666666664</c:v>
                </c:pt>
                <c:pt idx="3">
                  <c:v>46018.916666666664</c:v>
                </c:pt>
              </c:numCache>
            </c:numRef>
          </c:cat>
          <c:val>
            <c:numRef>
              <c:f>Sheet1!$D$2:$D$6</c:f>
              <c:numCache>
                <c:formatCode>General</c:formatCode>
                <c:ptCount val="5"/>
                <c:pt idx="0">
                  <c:v>120.82592592592592</c:v>
                </c:pt>
                <c:pt idx="1">
                  <c:v>118.33333333333331</c:v>
                </c:pt>
                <c:pt idx="2">
                  <c:v>115.78333333333333</c:v>
                </c:pt>
                <c:pt idx="3">
                  <c:v>117.5685185185185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2-9F20-4A9E-A6BF-C4DF8FF5413E}"/>
            </c:ext>
          </c:extLst>
        </c:ser>
        <c:ser>
          <c:idx val="3"/>
          <c:order val="3"/>
          <c:tx>
            <c:strRef>
              <c:f>Sheet1!$E$1</c:f>
              <c:strCache>
                <c:ptCount val="1"/>
                <c:pt idx="0">
                  <c:v>LCS (Toluene)</c:v>
                </c:pt>
              </c:strCache>
            </c:strRef>
          </c:tx>
          <c:spPr>
            <a:ln w="28575" cap="rnd">
              <a:solidFill>
                <a:schemeClr val="accent4"/>
              </a:solidFill>
              <a:round/>
            </a:ln>
            <a:effectLst/>
          </c:spPr>
          <c:marker>
            <c:symbol val="none"/>
          </c:marker>
          <c:cat>
            <c:numRef>
              <c:f>Sheet1!$A$2:$A$6</c:f>
              <c:numCache>
                <c:formatCode>m/d/yyyy\ h:mm</c:formatCode>
                <c:ptCount val="5"/>
                <c:pt idx="0">
                  <c:v>45997.916666666664</c:v>
                </c:pt>
                <c:pt idx="1">
                  <c:v>46004.916666666664</c:v>
                </c:pt>
                <c:pt idx="2">
                  <c:v>46011.916666666664</c:v>
                </c:pt>
                <c:pt idx="3">
                  <c:v>46018.916666666664</c:v>
                </c:pt>
              </c:numCache>
            </c:numRef>
          </c:cat>
          <c:val>
            <c:numRef>
              <c:f>Sheet1!$E$2:$E$6</c:f>
              <c:numCache>
                <c:formatCode>General</c:formatCode>
                <c:ptCount val="5"/>
                <c:pt idx="0">
                  <c:v>114.0591649503838</c:v>
                </c:pt>
                <c:pt idx="1">
                  <c:v>111.5109530050552</c:v>
                </c:pt>
                <c:pt idx="2">
                  <c:v>110.93802658678149</c:v>
                </c:pt>
                <c:pt idx="3">
                  <c:v>110.29956936903199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3-9F20-4A9E-A6BF-C4DF8FF5413E}"/>
            </c:ext>
          </c:extLst>
        </c:ser>
        <c:ser>
          <c:idx val="4"/>
          <c:order val="4"/>
          <c:tx>
            <c:strRef>
              <c:f>Sheet1!$F$1</c:f>
              <c:strCache>
                <c:ptCount val="1"/>
                <c:pt idx="0">
                  <c:v>RTS (Propane)</c:v>
                </c:pt>
              </c:strCache>
            </c:strRef>
          </c:tx>
          <c:spPr>
            <a:ln w="28575" cap="rnd">
              <a:solidFill>
                <a:schemeClr val="accent5"/>
              </a:solidFill>
              <a:round/>
            </a:ln>
            <a:effectLst/>
          </c:spPr>
          <c:marker>
            <c:symbol val="none"/>
          </c:marker>
          <c:cat>
            <c:numRef>
              <c:f>Sheet1!$A$2:$A$6</c:f>
              <c:numCache>
                <c:formatCode>m/d/yyyy\ h:mm</c:formatCode>
                <c:ptCount val="5"/>
                <c:pt idx="0">
                  <c:v>45997.916666666664</c:v>
                </c:pt>
                <c:pt idx="1">
                  <c:v>46004.916666666664</c:v>
                </c:pt>
                <c:pt idx="2">
                  <c:v>46011.916666666664</c:v>
                </c:pt>
                <c:pt idx="3">
                  <c:v>46018.916666666664</c:v>
                </c:pt>
              </c:numCache>
            </c:numRef>
          </c:cat>
          <c:val>
            <c:numRef>
              <c:f>Sheet1!$F$2:$F$6</c:f>
              <c:numCache>
                <c:formatCode>General</c:formatCode>
                <c:ptCount val="5"/>
                <c:pt idx="0">
                  <c:v>94.337606837606828</c:v>
                </c:pt>
                <c:pt idx="1">
                  <c:v>90.14245014245013</c:v>
                </c:pt>
                <c:pt idx="2">
                  <c:v>90.698005698005687</c:v>
                </c:pt>
                <c:pt idx="3">
                  <c:v>94.964387464387443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4-9F20-4A9E-A6BF-C4DF8FF5413E}"/>
            </c:ext>
          </c:extLst>
        </c:ser>
        <c:ser>
          <c:idx val="5"/>
          <c:order val="5"/>
          <c:tx>
            <c:strRef>
              <c:f>Sheet1!$G$1</c:f>
              <c:strCache>
                <c:ptCount val="1"/>
                <c:pt idx="0">
                  <c:v>RTS (Toluene)</c:v>
                </c:pt>
              </c:strCache>
            </c:strRef>
          </c:tx>
          <c:spPr>
            <a:ln w="28575" cap="rnd">
              <a:solidFill>
                <a:schemeClr val="accent6"/>
              </a:solidFill>
              <a:round/>
            </a:ln>
            <a:effectLst/>
          </c:spPr>
          <c:marker>
            <c:symbol val="none"/>
          </c:marker>
          <c:cat>
            <c:numRef>
              <c:f>Sheet1!$A$2:$A$6</c:f>
              <c:numCache>
                <c:formatCode>m/d/yyyy\ h:mm</c:formatCode>
                <c:ptCount val="5"/>
                <c:pt idx="0">
                  <c:v>45997.916666666664</c:v>
                </c:pt>
                <c:pt idx="1">
                  <c:v>46004.916666666664</c:v>
                </c:pt>
                <c:pt idx="2">
                  <c:v>46011.916666666664</c:v>
                </c:pt>
                <c:pt idx="3">
                  <c:v>46018.916666666664</c:v>
                </c:pt>
              </c:numCache>
            </c:numRef>
          </c:cat>
          <c:val>
            <c:numRef>
              <c:f>Sheet1!$G$2:$G$6</c:f>
              <c:numCache>
                <c:formatCode>General</c:formatCode>
                <c:ptCount val="5"/>
                <c:pt idx="0">
                  <c:v>101.87928669410149</c:v>
                </c:pt>
                <c:pt idx="1">
                  <c:v>103.88203017832647</c:v>
                </c:pt>
                <c:pt idx="2">
                  <c:v>107.32510288065842</c:v>
                </c:pt>
                <c:pt idx="3">
                  <c:v>108.59396433470505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46D0-4CA3-81F7-BD73358384D9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556510288"/>
        <c:axId val="556511728"/>
      </c:lineChart>
      <c:dateAx>
        <c:axId val="556510288"/>
        <c:scaling>
          <c:orientation val="minMax"/>
        </c:scaling>
        <c:delete val="0"/>
        <c:axPos val="b"/>
        <c:numFmt formatCode="m/d/yyyy\ h:mm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2700000" spcFirstLastPara="1" vertOverflow="ellipsis" wrap="square" anchor="ctr" anchorCtr="1"/>
          <a:lstStyle/>
          <a:p>
            <a:pPr>
              <a:defRPr sz="8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556511728"/>
        <c:crosses val="autoZero"/>
        <c:auto val="0"/>
        <c:lblOffset val="100"/>
        <c:baseTimeUnit val="days"/>
        <c:majorUnit val="7"/>
        <c:majorTimeUnit val="days"/>
        <c:minorUnit val="7"/>
        <c:minorTimeUnit val="days"/>
      </c:dateAx>
      <c:valAx>
        <c:axId val="556511728"/>
        <c:scaling>
          <c:orientation val="minMax"/>
          <c:min val="85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0" spcFirstLastPara="1" vertOverflow="ellipsis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556510288"/>
        <c:crosses val="autoZero"/>
        <c:crossBetween val="between"/>
        <c:majorUnit val="10"/>
        <c:minorUnit val="5"/>
      </c:valAx>
      <c:spPr>
        <a:noFill/>
        <a:ln>
          <a:noFill/>
        </a:ln>
        <a:effectLst/>
      </c:spPr>
    </c:plotArea>
    <c:legend>
      <c:legendPos val="b"/>
      <c:layout>
        <c:manualLayout>
          <c:xMode val="edge"/>
          <c:yMode val="edge"/>
          <c:x val="9.320001193032687E-2"/>
          <c:y val="0.81911109177651131"/>
          <c:w val="0.78708482462419471"/>
          <c:h val="0.12153681066109834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4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5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ln w="19050">
        <a:solidFill>
          <a:schemeClr val="lt1"/>
        </a:solidFill>
      </a:ln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ln w="254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5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ln w="19050">
        <a:solidFill>
          <a:schemeClr val="lt1"/>
        </a:solidFill>
      </a:ln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ln w="254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3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4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4</Pages>
  <Words>620</Words>
  <Characters>3539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State of Utah</Company>
  <LinksUpToDate>false</LinksUpToDate>
  <CharactersWithSpaces>4151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Robert Aullman</dc:creator>
  <cp:keywords/>
  <dc:description/>
  <cp:lastModifiedBy>Alex Engstrom</cp:lastModifiedBy>
  <cp:revision>2</cp:revision>
  <cp:lastPrinted>2025-10-21T20:52:00Z</cp:lastPrinted>
  <dcterms:created xsi:type="dcterms:W3CDTF">2026-03-10T20:29:00Z</dcterms:created>
  <dcterms:modified xsi:type="dcterms:W3CDTF">2026-03-10T20:29:00Z</dcterms:modified>
</cp:coreProperties>
</file>