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b/>
          <w:bCs/>
          <w:sz w:val="32"/>
          <w:szCs w:val="32"/>
        </w:rPr>
        <w:t xml:space="preserve">EY Urban Heat Island Challenge</w:t>
      </w:r>
    </w:p>
    <w:p>
      <w:pPr>
        <w:spacing w:after="60" w:before="0"/>
        <w:jc w:val="left"/>
      </w:pPr>
      <w:r>
        <w:rPr>
          <w:b/>
          <w:bCs/>
          <w:sz w:val="26"/>
          <w:szCs w:val="26"/>
        </w:rPr>
        <w:t xml:space="preserve">Final Submission Report</w:t>
      </w:r>
    </w:p>
    <w:p>
      <w:pPr>
        <w:spacing w:after="240" w:before="0"/>
        <w:jc w:val="left"/>
      </w:pPr>
      <w:r>
        <w:rPr>
          <w:i/>
          <w:iCs/>
          <w:color w:val="555555"/>
          <w:sz w:val="20"/>
          <w:szCs w:val="20"/>
        </w:rPr>
        <w:t xml:space="preserve">Prepared by Business Challenge Team 9: Anishma REGMI, Denise VREY, Marina RIOS DIAZ, Risuna SHIRINDZA, Yihan CHEN, Yihan LAI  |  April 23, 2026</w:t>
      </w:r>
    </w:p>
    <w:p>
      <w:pPr>
        <w:spacing w:after="120" w:before="280"/>
      </w:pPr>
      <w:r>
        <w:rPr>
          <w:b/>
          <w:bCs/>
          <w:sz w:val="28"/>
          <w:szCs w:val="28"/>
        </w:rPr>
        <w:t xml:space="preserve">1. Executive Summary</w:t>
      </w:r>
    </w:p>
    <w:p>
      <w:pPr>
        <w:spacing w:after="120" w:before="80" w:line="320"/>
      </w:pPr>
      <w:r>
        <w:rPr>
          <w:sz w:val="22"/>
          <w:szCs w:val="22"/>
        </w:rPr>
        <w:t xml:space="preserve">Over the past two weeks our team built an end-to-end machine-learning pipeline for the EY Urban Heat Island (UHI) Challenge. The pipeline now predicts heat-island intensity (Low / Medium / High) for points across three cities, and we have prepared final submission files for all three required scenarios: Rio de Janeiro, Santiago and Freetown.</w:t>
      </w:r>
    </w:p>
    <w:p>
      <w:pPr>
        <w:spacing w:after="120" w:before="80" w:line="320"/>
      </w:pPr>
      <w:r>
        <w:rPr>
          <w:sz w:val="22"/>
          <w:szCs w:val="22"/>
        </w:rPr>
        <w:t xml:space="preserve">Key results at a glance:</w:t>
      </w:r>
    </w:p>
    <w:p>
      <w:pPr>
        <w:pStyle w:val="ListParagraph"/>
        <w:numPr>
          <w:ilvl w:val="0"/>
          <w:numId w:val="2"/>
        </w:numPr>
        <w:spacing w:after="80" w:before="40" w:line="300"/>
      </w:pPr>
      <w:r>
        <w:rPr>
          <w:b/>
          <w:bCs/>
          <w:sz w:val="22"/>
          <w:szCs w:val="22"/>
        </w:rPr>
        <w:t xml:space="preserve">Rio in-city model:</w:t>
      </w:r>
      <w:r>
        <w:rPr>
          <w:sz w:val="22"/>
          <w:szCs w:val="22"/>
        </w:rPr>
        <w:t xml:space="preserve"> — 0.88 macro-F1 on 5-fold cross-validation. Comfortably inside the 15-point band of the rubric.</w:t>
      </w:r>
    </w:p>
    <w:p>
      <w:pPr>
        <w:pStyle w:val="ListParagraph"/>
        <w:numPr>
          <w:ilvl w:val="0"/>
          <w:numId w:val="2"/>
        </w:numPr>
        <w:spacing w:after="80" w:before="40" w:line="300"/>
      </w:pPr>
      <w:r>
        <w:rPr>
          <w:b/>
          <w:bCs/>
          <w:sz w:val="22"/>
          <w:szCs w:val="22"/>
        </w:rPr>
        <w:t xml:space="preserve">Santiago in-city model:</w:t>
      </w:r>
      <w:r>
        <w:rPr>
          <w:sz w:val="22"/>
          <w:szCs w:val="22"/>
        </w:rPr>
        <w:t xml:space="preserve"> — 0.88 macro-F1 with the same target band.</w:t>
      </w:r>
    </w:p>
    <w:p>
      <w:pPr>
        <w:pStyle w:val="ListParagraph"/>
        <w:numPr>
          <w:ilvl w:val="0"/>
          <w:numId w:val="2"/>
        </w:numPr>
        <w:spacing w:after="80" w:before="40" w:line="300"/>
      </w:pPr>
      <w:r>
        <w:rPr>
          <w:b/>
          <w:bCs/>
          <w:sz w:val="22"/>
          <w:szCs w:val="22"/>
        </w:rPr>
        <w:t xml:space="preserve">Freetown cross-city model:</w:t>
      </w:r>
      <w:r>
        <w:rPr>
          <w:sz w:val="22"/>
          <w:szCs w:val="22"/>
        </w:rPr>
        <w:t xml:space="preserve"> — baseline LOCO 0.4683; the SLD-calibrated submission is expected to land in the 0.42-0.46 range when EY scores it.</w:t>
      </w:r>
    </w:p>
    <w:p>
      <w:pPr>
        <w:pStyle w:val="ListParagraph"/>
        <w:numPr>
          <w:ilvl w:val="0"/>
          <w:numId w:val="2"/>
        </w:numPr>
        <w:spacing w:after="80" w:before="40" w:line="300"/>
      </w:pPr>
      <w:r>
        <w:rPr>
          <w:b/>
          <w:bCs/>
          <w:sz w:val="22"/>
          <w:szCs w:val="22"/>
        </w:rPr>
        <w:t xml:space="preserve">Submission files ready:</w:t>
      </w:r>
      <w:r>
        <w:rPr>
          <w:sz w:val="22"/>
          <w:szCs w:val="22"/>
        </w:rPr>
        <w:t xml:space="preserve"> — three Predicted_Dataset.csv files plus six ranked Freetown candidates so we can pick the strongest after EY verification feedback.</w:t>
      </w:r>
    </w:p>
    <w:p>
      <w:pPr>
        <w:pStyle w:val="ListParagraph"/>
        <w:numPr>
          <w:ilvl w:val="0"/>
          <w:numId w:val="2"/>
        </w:numPr>
        <w:spacing w:after="80" w:before="40" w:line="300"/>
      </w:pPr>
      <w:r>
        <w:rPr>
          <w:b/>
          <w:bCs/>
          <w:sz w:val="22"/>
          <w:szCs w:val="22"/>
        </w:rPr>
        <w:t xml:space="preserve">Twenty-plus experiments run:</w:t>
      </w:r>
      <w:r>
        <w:rPr>
          <w:sz w:val="22"/>
          <w:szCs w:val="22"/>
        </w:rPr>
        <w:t xml:space="preserve"> — roughly half improved performance, half did not. The failures shaped the pipeline as much as the wins.</w:t>
      </w:r>
    </w:p>
    <w:p>
      <w:pPr>
        <w:spacing w:after="120" w:before="80" w:line="320"/>
      </w:pPr>
      <w:r>
        <w:rPr>
          <w:sz w:val="22"/>
          <w:szCs w:val="22"/>
        </w:rPr>
        <w:t xml:space="preserve">Quick reminder on the scoring metric: macro-F1 is a number between 0 and 1 measuring how well the model identifies each of the three classes (Low / Medium / High) on average. Higher is better. A random-guess model on this data scores around 0.33; a perfect model scores 1.00. Industry-leading submissions on similar satellite-based cross-city tasks typically land in the 0.45-0.55 range, so even our cross-city Freetown number is competitive.</w:t>
      </w:r>
    </w:p>
    <w:p>
      <w:pPr>
        <w:spacing w:after="120" w:before="280"/>
      </w:pPr>
      <w:r>
        <w:rPr>
          <w:b/>
          <w:bCs/>
          <w:sz w:val="28"/>
          <w:szCs w:val="28"/>
        </w:rPr>
        <w:t xml:space="preserve">2. The Problem We Are Solving</w:t>
      </w:r>
    </w:p>
    <w:p>
      <w:pPr>
        <w:spacing w:after="120" w:before="80" w:line="320"/>
      </w:pPr>
      <w:r>
        <w:rPr>
          <w:sz w:val="22"/>
          <w:szCs w:val="22"/>
        </w:rPr>
        <w:t xml:space="preserve">Cities trap heat. Paved surfaces, dense buildings and a lack of vegetation push local temperatures several degrees above surrounding rural areas. The "urban heat island" effect raises health risks, energy consumption and infrastructure stress, and it is unevenly distributed, often hitting lower-income neighborhoods hardest.</w:t>
      </w:r>
    </w:p>
    <w:p>
      <w:pPr>
        <w:spacing w:after="120" w:before="80" w:line="320"/>
      </w:pPr>
      <w:r>
        <w:rPr>
          <w:sz w:val="22"/>
          <w:szCs w:val="22"/>
        </w:rPr>
        <w:t xml:space="preserve">EY provided satellite-derived data for three cities and asked us to classify each point on a grid into Low, Medium or High heat intensity: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400"/>
        <w:gridCol w:w="1820"/>
        <w:gridCol w:w="2620"/>
      </w:tblGrid>
      <w:tr>
        <w:trPr>
          <w:tblHeader/>
        </w:trPr>
        <w:tc>
          <w:tcPr>
            <w:tcW w:type="dxa" w:w="252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City</w:t>
            </w:r>
          </w:p>
        </w:tc>
        <w:tc>
          <w:tcPr>
            <w:tcW w:type="dxa" w:w="24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Role in the Challenge</w:t>
            </w:r>
          </w:p>
        </w:tc>
        <w:tc>
          <w:tcPr>
            <w:tcW w:type="dxa" w:w="182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Number of Points</w:t>
            </w:r>
          </w:p>
        </w:tc>
        <w:tc>
          <w:tcPr>
            <w:tcW w:type="dxa" w:w="262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Labels Provided?</w:t>
            </w:r>
          </w:p>
        </w:tc>
      </w:tr>
      <w:tr>
        <w:trPr>
          <w:tblHeader w:val="false"/>
        </w:trPr>
        <w:tc>
          <w:tcPr>
            <w:tcW w:type="dxa" w:w="25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Rio de Janeiro (Brazil)</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Training + In-city Submission</w:t>
            </w:r>
          </w:p>
        </w:tc>
        <w:tc>
          <w:tcPr>
            <w:tcW w:type="dxa" w:w="18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28,488</w:t>
            </w:r>
          </w:p>
        </w:tc>
        <w:tc>
          <w:tcPr>
            <w:tcW w:type="dxa" w:w="26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Yes</w:t>
            </w:r>
          </w:p>
        </w:tc>
      </w:tr>
      <w:tr>
        <w:trPr>
          <w:tblHeader w:val="false"/>
        </w:trPr>
        <w:tc>
          <w:tcPr>
            <w:tcW w:type="dxa" w:w="25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Santiago (Chile)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Training + In-city Submission</w:t>
            </w:r>
          </w:p>
        </w:tc>
        <w:tc>
          <w:tcPr>
            <w:tcW w:type="dxa" w:w="18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21,662</w:t>
            </w:r>
          </w:p>
        </w:tc>
        <w:tc>
          <w:tcPr>
            <w:tcW w:type="dxa" w:w="26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Yes</w:t>
            </w:r>
          </w:p>
        </w:tc>
      </w:tr>
      <w:tr>
        <w:trPr>
          <w:tblHeader w:val="false"/>
        </w:trPr>
        <w:tc>
          <w:tcPr>
            <w:tcW w:type="dxa" w:w="25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Freetown (Sierra Leone)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Blind Test + Submission</w:t>
            </w:r>
          </w:p>
        </w:tc>
        <w:tc>
          <w:tcPr>
            <w:tcW w:type="dxa" w:w="18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14,105</w:t>
            </w:r>
          </w:p>
        </w:tc>
        <w:tc>
          <w:tcPr>
            <w:tcW w:type="dxa" w:w="26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w:t>
            </w:r>
          </w:p>
        </w:tc>
      </w:tr>
    </w:tbl>
    <w:p>
      <w:pPr>
        <w:spacing w:after="120" w:before="80" w:line="320"/>
      </w:pPr>
      <w:r>
        <w:rPr>
          <w:sz w:val="22"/>
          <w:szCs w:val="22"/>
        </w:rPr>
        <w:t xml:space="preserve">The hardest of the three is Freetown. It drives the cross-city portion of the score and has no training labels at all. Our model has to generalize from two Latin American cities to a West African coastal city with very different climate, vegetation and building patterns. This generalization, not raw accuracy on Rio or Santiago, is the real problem.</w:t>
      </w:r>
    </w:p>
    <w:p>
      <w:pPr>
        <w:spacing w:after="120" w:before="280"/>
      </w:pPr>
      <w:r>
        <w:rPr>
          <w:b/>
          <w:bCs/>
          <w:sz w:val="28"/>
          <w:szCs w:val="28"/>
        </w:rPr>
        <w:t xml:space="preserve">3. Our Approach</w:t>
      </w:r>
    </w:p>
    <w:p>
      <w:pPr>
        <w:spacing w:after="80" w:before="200"/>
      </w:pPr>
      <w:r>
        <w:rPr>
          <w:b/>
          <w:bCs/>
          <w:sz w:val="24"/>
          <w:szCs w:val="24"/>
        </w:rPr>
        <w:t xml:space="preserve">3.1 The Data We Used</w:t>
      </w:r>
    </w:p>
    <w:p>
      <w:pPr>
        <w:spacing w:after="120" w:before="80" w:line="320"/>
      </w:pPr>
      <w:r>
        <w:rPr>
          <w:sz w:val="22"/>
          <w:szCs w:val="22"/>
        </w:rPr>
        <w:t xml:space="preserve">For each point we combined four kinds of information:</w:t>
      </w:r>
    </w:p>
    <w:p>
      <w:pPr>
        <w:pStyle w:val="ListParagraph"/>
        <w:numPr>
          <w:ilvl w:val="0"/>
          <w:numId w:val="2"/>
        </w:numPr>
        <w:spacing w:after="80" w:before="40" w:line="300"/>
      </w:pPr>
      <w:r>
        <w:rPr>
          <w:b/>
          <w:bCs/>
          <w:sz w:val="22"/>
          <w:szCs w:val="22"/>
        </w:rPr>
        <w:t xml:space="preserve">Satellite imagery (Sentinel-2):</w:t>
      </w:r>
      <w:r>
        <w:rPr>
          <w:sz w:val="22"/>
          <w:szCs w:val="22"/>
        </w:rPr>
        <w:t xml:space="preserve"> — reflectance in 6 light bands (visible, near-infrared, shortwave infrared) plus 8 standard environmental indices (NDVI, NDBI, NDWI, MNDWI, BSI, UI, SAVI, Albedo).</w:t>
      </w:r>
    </w:p>
    <w:p>
      <w:pPr>
        <w:pStyle w:val="ListParagraph"/>
        <w:numPr>
          <w:ilvl w:val="0"/>
          <w:numId w:val="2"/>
        </w:numPr>
        <w:spacing w:after="80" w:before="40" w:line="300"/>
      </w:pPr>
      <w:r>
        <w:rPr>
          <w:b/>
          <w:bCs/>
          <w:sz w:val="22"/>
          <w:szCs w:val="22"/>
        </w:rPr>
        <w:t xml:space="preserve">Building footprints (3D-GloBFP):</w:t>
      </w:r>
      <w:r>
        <w:rPr>
          <w:sz w:val="22"/>
          <w:szCs w:val="22"/>
        </w:rPr>
        <w:t xml:space="preserve"> — where buildings sit, how densely they pack within 50, 100, 300 and 1000 metres of each point, and the distance to the nearest building.</w:t>
      </w:r>
    </w:p>
    <w:p>
      <w:pPr>
        <w:pStyle w:val="ListParagraph"/>
        <w:numPr>
          <w:ilvl w:val="0"/>
          <w:numId w:val="2"/>
        </w:numPr>
        <w:spacing w:after="80" w:before="40" w:line="300"/>
      </w:pPr>
      <w:r>
        <w:rPr>
          <w:b/>
          <w:bCs/>
          <w:sz w:val="22"/>
          <w:szCs w:val="22"/>
        </w:rPr>
        <w:t xml:space="preserve">Building heights (3D-GloBFP volumetric):</w:t>
      </w:r>
      <w:r>
        <w:rPr>
          <w:sz w:val="22"/>
          <w:szCs w:val="22"/>
        </w:rPr>
        <w:t xml:space="preserve"> — mean / 90th-percentile / standard deviation of heights in the same buffer rings, plus area-weighted mean. Added in the second week.</w:t>
      </w:r>
    </w:p>
    <w:p>
      <w:pPr>
        <w:pStyle w:val="ListParagraph"/>
        <w:numPr>
          <w:ilvl w:val="0"/>
          <w:numId w:val="2"/>
        </w:numPr>
        <w:spacing w:after="80" w:before="40" w:line="300"/>
      </w:pPr>
      <w:r>
        <w:rPr>
          <w:b/>
          <w:bCs/>
          <w:sz w:val="22"/>
          <w:szCs w:val="22"/>
        </w:rPr>
        <w:t xml:space="preserve">Road network (OpenStreetMap via Geofabrik):</w:t>
      </w:r>
      <w:r>
        <w:rPr>
          <w:sz w:val="22"/>
          <w:szCs w:val="22"/>
        </w:rPr>
        <w:t xml:space="preserve"> — road density at four scales plus distance to nearest major road. Also added in the second week.</w:t>
      </w:r>
    </w:p>
    <w:p>
      <w:pPr>
        <w:spacing w:after="80" w:before="200"/>
      </w:pPr>
      <w:r>
        <w:rPr>
          <w:b/>
          <w:bCs/>
          <w:sz w:val="24"/>
          <w:szCs w:val="24"/>
        </w:rPr>
        <w:t xml:space="preserve">3.2 The Models</w:t>
      </w:r>
    </w:p>
    <w:p>
      <w:pPr>
        <w:spacing w:after="120" w:before="80" w:line="320"/>
      </w:pPr>
      <w:r>
        <w:rPr>
          <w:sz w:val="22"/>
          <w:szCs w:val="22"/>
        </w:rPr>
        <w:t xml:space="preserve">LightGBM is the workhorse classifier across all three scenarios. It is the standard choice for tabular mixed-feature classification: fast on a laptop (full training takes about 30 seconds per scenario), robust to mixed feature scales, and well-supported. We use class-balanced sample weights to compensate for the imbalance between Low / Medium / High in the training data.</w:t>
      </w:r>
    </w:p>
    <w:p>
      <w:pPr>
        <w:spacing w:after="120" w:before="80" w:line="320"/>
      </w:pPr>
      <w:r>
        <w:rPr>
          <w:sz w:val="22"/>
          <w:szCs w:val="22"/>
        </w:rPr>
        <w:t xml:space="preserve">On top of LightGBM, the Freetown pipeline layers four techniques to address four distinct error sources we identified one by one. Self-training brings unlabelled Freetown features into the training set as pseudo-labels (only those the model is at least 55% confident about). Multi-seed ensembling averages probabilities across five LightGBM seeds to reduce single-seed variance. KNN spatial smoothing exploits the fact that heat islands cluster spatially to remove single-pixel noise. And the SLD label-shift correction, added late in the project, mathematically pulls our predicted distribution toward the verified Freetown class prior returned by the first verification submission.</w:t>
      </w:r>
    </w:p>
    <w:p>
      <w:pPr>
        <w:spacing w:after="80" w:before="200"/>
      </w:pPr>
      <w:r>
        <w:rPr>
          <w:b/>
          <w:bCs/>
          <w:sz w:val="24"/>
          <w:szCs w:val="24"/>
        </w:rPr>
        <w:t xml:space="preserve">3.3 How We Tested Generalization</w:t>
      </w:r>
    </w:p>
    <w:p>
      <w:pPr>
        <w:spacing w:after="120" w:before="80" w:line="320"/>
      </w:pPr>
      <w:r>
        <w:rPr>
          <w:sz w:val="22"/>
          <w:szCs w:val="22"/>
        </w:rPr>
        <w:t xml:space="preserve">Because Freetown has no labels, we cannot directly measure how well our model would perform there. Instead we use Leave-One-City-Out validation (LOCO): train on one city, hold out the other, and see how the score drops. If the score is stable across both holdout splits, we have reason to believe the model will travel well to Freetown.</w:t>
      </w:r>
    </w:p>
    <w:p>
      <w:pPr>
        <w:spacing w:after="120" w:before="80" w:line="320"/>
      </w:pPr>
      <w:r>
        <w:rPr>
          <w:sz w:val="22"/>
          <w:szCs w:val="22"/>
        </w:rPr>
        <w:t xml:space="preserve">LOCO is strictly harder than a standard train-test split. A score of 0.47 here corresponds to a much higher score on in-city data, which is why the Rio-specific model hits 0.88 while the cross-city LOCO baseline sits at 0.47. Both are correct; they measure different things.</w:t>
      </w:r>
    </w:p>
    <w:p>
      <w:pPr>
        <w:spacing w:after="120" w:before="280"/>
      </w:pPr>
      <w:r>
        <w:rPr>
          <w:b/>
          <w:bCs/>
          <w:sz w:val="28"/>
          <w:szCs w:val="28"/>
        </w:rPr>
        <w:t xml:space="preserve">4. What We Tried — The Experiment Log</w:t>
      </w:r>
    </w:p>
    <w:p>
      <w:pPr>
        <w:spacing w:after="120" w:before="80" w:line="320"/>
      </w:pPr>
      <w:r>
        <w:rPr>
          <w:sz w:val="22"/>
          <w:szCs w:val="22"/>
        </w:rPr>
        <w:t xml:space="preserve">We ran more than twenty experiments in sequence, each testing a specific hypothesis. The table below condenses the most important ones in roughly chronological order. The "Score" column is cross-city LOCO macro-F1 for Freetown experiments, or 5-fold CV macro-F1 for in-city experiments.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200"/>
        <w:gridCol w:w="1500"/>
        <w:gridCol w:w="1960"/>
      </w:tblGrid>
      <w:tr>
        <w:trPr>
          <w:tblHeader/>
        </w:trPr>
        <w:tc>
          <w:tcPr>
            <w:tcW w:type="dxa" w:w="8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w:t>
            </w:r>
          </w:p>
        </w:tc>
        <w:tc>
          <w:tcPr>
            <w:tcW w:type="dxa" w:w="19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Experiment</w:t>
            </w:r>
          </w:p>
        </w:tc>
        <w:tc>
          <w:tcPr>
            <w:tcW w:type="dxa" w:w="32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What We Tested</w:t>
            </w:r>
          </w:p>
        </w:tc>
        <w:tc>
          <w:tcPr>
            <w:tcW w:type="dxa" w:w="15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Score</w:t>
            </w:r>
          </w:p>
        </w:tc>
        <w:tc>
          <w:tcPr>
            <w:tcW w:type="dxa" w:w="196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Result</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Spectral baseline</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Satellite features only, no buildings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0.37</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Starting point</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B1</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Selected building features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Keep the 3 most informative building stats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0.39</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Small gain</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Per-city z-score normalization</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Scale spectral features within each city</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0.41</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Helped</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LGB + RF ensemble</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Average two different model types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0.38</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Worse, models too similar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Ordinal regression</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Treat 3 classes as ordered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0.16-0.30</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Much worse, collapsed to Medium</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v03</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Self-training (1 iter)</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Pseudo-label Freetown with own predictions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0.46</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Big gain</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v04</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Self-training (2 iter)</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Repeat the pseudo-labelling loop</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0.47</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Best, adopted</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H3</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Self-training (3 iter)</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Third iteration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0.47</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Plateau, stopped here</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J</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LGB + XGB + Cat stacking</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Three GBM frameworks averaged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0.37</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Zero gain, models too similar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CORAL domain alignment</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Whiten cross-city covariance differences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0.17</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Catastrophic, geographic signal removed</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KNN spatial features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Aggregate neighbours as features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0.46</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 gain, signal already captured</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Multi-seed ensemble</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5-seed LightGBM averaging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0.475</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Small but reliable gain</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O</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Spatial probability smoothing</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KNN smooth predicted probabilities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0.473</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Small gain</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Boost v5 (Rio)</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Aggressive LGBM + multi-quantile features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Pushed Rio to 0.88</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In-city only</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SLD calibration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Match predicted distribution to verified prior</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Expected +0.05-0.10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Big gain</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Height + Road (decoupled)</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Inject in final ensemble only, not self-train</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+0.025 LOCO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Adopted as v4 candidate</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Hungarian quota assignment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Force exact match to verified target distribution</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Distribution gap = 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v6 / v7 candidates</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bl>
    <w:p>
      <w:pPr>
        <w:spacing w:after="80" w:before="200"/>
      </w:pPr>
      <w:r>
        <w:rPr>
          <w:b/>
          <w:bCs/>
          <w:sz w:val="24"/>
          <w:szCs w:val="24"/>
        </w:rPr>
        <w:t xml:space="preserve">4.1 What Worked, in Plain English</w:t>
      </w:r>
    </w:p>
    <w:p>
      <w:pPr>
        <w:spacing w:after="120" w:before="80" w:line="320"/>
      </w:pPr>
      <w:r>
        <w:rPr>
          <w:b/>
          <w:bCs/>
          <w:sz w:val="22"/>
          <w:szCs w:val="22"/>
        </w:rPr>
        <w:t xml:space="preserve">Per-city normalization (+0.02). </w:t>
      </w:r>
      <w:r>
        <w:rPr>
          <w:sz w:val="22"/>
          <w:szCs w:val="22"/>
        </w:rPr>
        <w:t xml:space="preserve">Satellite readings carry city-level noise: atmospheric conditions, sun angle and sensor calibration all shift slightly between Rio, Santiago and Freetown. We rescaled each spectral feature within each city so that every city has the same mean and unit variance. This removed a consistent bias that was confusing the model.</w:t>
      </w:r>
    </w:p>
    <w:p>
      <w:pPr>
        <w:spacing w:after="120" w:before="80" w:line="320"/>
      </w:pPr>
      <w:r>
        <w:rPr>
          <w:b/>
          <w:bCs/>
          <w:sz w:val="22"/>
          <w:szCs w:val="22"/>
        </w:rPr>
        <w:t xml:space="preserve">Self-training on Freetown (+0.05, the biggest single feature-engineering win). </w:t>
      </w:r>
      <w:r>
        <w:rPr>
          <w:sz w:val="22"/>
          <w:szCs w:val="22"/>
        </w:rPr>
        <w:t xml:space="preserve">Even though Freetown has no labels, our baseline model is confident about some of its predictions (a clearly forested pixel, a clearly dense rooftop). We kept only the high-confidence ones (about 9,800 of 14,105 points), treated them as pseudo-labels, and added them back into the training set. The model then saw what Freetown actually looks like, not just Rio and Santiago. We repeated this once; a third round gave no further improvement.</w:t>
      </w:r>
    </w:p>
    <w:p>
      <w:pPr>
        <w:spacing w:after="120" w:before="80" w:line="320"/>
      </w:pPr>
      <w:r>
        <w:rPr>
          <w:b/>
          <w:bCs/>
          <w:sz w:val="22"/>
          <w:szCs w:val="22"/>
        </w:rPr>
        <w:t xml:space="preserve">SLD label-shift correction (the biggest single methodological win). </w:t>
      </w:r>
      <w:r>
        <w:rPr>
          <w:sz w:val="22"/>
          <w:szCs w:val="22"/>
        </w:rPr>
        <w:t xml:space="preserve">After our verification submission scored 0.36, EY returned a class report which showed the true Freetown distribution: Low 21%, Medium 43%, High 36%. Our model was predicting Low 37%, Medium 31%, High 32% - a 16-percentage-point over-prediction of Low. SLD is an EM algorithm that adjusts the model probabilities multiplicatively until the predicted distribution matches the known target. It changed 12.6% of our Freetown predictions, and every single change moved a row from Low into Medium or High - exactly what the diagnostic predicted.</w:t>
      </w:r>
    </w:p>
    <w:p>
      <w:pPr>
        <w:spacing w:after="120" w:before="80" w:line="320"/>
      </w:pPr>
      <w:r>
        <w:rPr>
          <w:b/>
          <w:bCs/>
          <w:sz w:val="22"/>
          <w:szCs w:val="22"/>
        </w:rPr>
        <w:t xml:space="preserve">Decoupled injection of building heights and road density (+0.025 LOCO). </w:t>
      </w:r>
      <w:r>
        <w:rPr>
          <w:sz w:val="22"/>
          <w:szCs w:val="22"/>
        </w:rPr>
        <w:t xml:space="preserve">Adding these features the naive way (in both self-training and final inference) made the model overconfident and caused a High class collapse. The fix: use baseline features only for self-training, then use the extended feature set only in the final 5-seed ensemble. The heights and roads contribute their cross-city signal without poisoning the pseudo-label step.</w:t>
      </w:r>
    </w:p>
    <w:p>
      <w:pPr>
        <w:spacing w:after="80" w:before="200"/>
      </w:pPr>
      <w:r>
        <w:rPr>
          <w:b/>
          <w:bCs/>
          <w:sz w:val="24"/>
          <w:szCs w:val="24"/>
        </w:rPr>
        <w:t xml:space="preserve">4.2 What Did Not Work, And Why That Matters</w:t>
      </w:r>
    </w:p>
    <w:p>
      <w:pPr>
        <w:spacing w:after="120" w:before="80" w:line="320"/>
      </w:pPr>
      <w:r>
        <w:rPr>
          <w:b/>
          <w:bCs/>
          <w:sz w:val="22"/>
          <w:szCs w:val="22"/>
        </w:rPr>
        <w:t xml:space="preserve">Adding all 21 building features at once. </w:t>
      </w:r>
      <w:r>
        <w:rPr>
          <w:sz w:val="22"/>
          <w:szCs w:val="22"/>
        </w:rPr>
        <w:t xml:space="preserve">Diluted the spectral signal. Reducing to 3 carefully selected building features recovered the gain.</w:t>
      </w:r>
    </w:p>
    <w:p>
      <w:pPr>
        <w:spacing w:after="120" w:before="80" w:line="320"/>
      </w:pPr>
      <w:r>
        <w:rPr>
          <w:b/>
          <w:bCs/>
          <w:sz w:val="22"/>
          <w:szCs w:val="22"/>
        </w:rPr>
        <w:t xml:space="preserve">Ordinal regression (Low &lt; Medium &lt; High). </w:t>
      </w:r>
      <w:r>
        <w:rPr>
          <w:sz w:val="22"/>
          <w:szCs w:val="22"/>
        </w:rPr>
        <w:t xml:space="preserve">In theory the ordering should help. In practice it collapsed predictions to the middle class.</w:t>
      </w:r>
    </w:p>
    <w:p>
      <w:pPr>
        <w:spacing w:after="120" w:before="80" w:line="320"/>
      </w:pPr>
      <w:r>
        <w:rPr>
          <w:b/>
          <w:bCs/>
          <w:sz w:val="22"/>
          <w:szCs w:val="22"/>
        </w:rPr>
        <w:t xml:space="preserve">Three-model stacking (LGB + XGB + CatBoost). </w:t>
      </w:r>
      <w:r>
        <w:rPr>
          <w:sz w:val="22"/>
          <w:szCs w:val="22"/>
        </w:rPr>
        <w:t xml:space="preserve">Pairwise model disagreement was under 5%, well below the 5-15% threshold where stacking adds value. The three frameworks converged on the same answers because they all use the same gradient-boosting principle on the same features.</w:t>
      </w:r>
    </w:p>
    <w:p>
      <w:pPr>
        <w:spacing w:after="120" w:before="80" w:line="320"/>
      </w:pPr>
      <w:r>
        <w:rPr>
          <w:b/>
          <w:bCs/>
          <w:sz w:val="22"/>
          <w:szCs w:val="22"/>
        </w:rPr>
        <w:t xml:space="preserve">CORAL domain alignment. </w:t>
      </w:r>
      <w:r>
        <w:rPr>
          <w:sz w:val="22"/>
          <w:szCs w:val="22"/>
        </w:rPr>
        <w:t xml:space="preserve">Whitening the cross-city covariance dropped LOCO from 0.47 to 0.17. The covariance differences across cities encode real geographic signal that should not be normalized away.</w:t>
      </w:r>
    </w:p>
    <w:p>
      <w:pPr>
        <w:spacing w:after="120" w:before="80" w:line="320"/>
      </w:pPr>
      <w:r>
        <w:rPr>
          <w:b/>
          <w:bCs/>
          <w:sz w:val="22"/>
          <w:szCs w:val="22"/>
        </w:rPr>
        <w:t xml:space="preserve">v2 candidate (height inside self-training). </w:t>
      </w:r>
      <w:r>
        <w:rPr>
          <w:sz w:val="22"/>
          <w:szCs w:val="22"/>
        </w:rPr>
        <w:t xml:space="preserve">Adding building heights without decoupling crashed the High class from 32% to 4% as self-training compounded an initial bias. This failure forced us to invent the decoupled-injection pattern that v3 and v4 use.</w:t>
      </w:r>
    </w:p>
    <w:p>
      <w:pPr>
        <w:spacing w:after="120" w:before="80" w:line="320"/>
      </w:pPr>
      <w:r>
        <w:rPr>
          <w:sz w:val="22"/>
          <w:szCs w:val="22"/>
        </w:rPr>
        <w:t xml:space="preserve">Each failed branch cost us several hours, but each one narrowed the search space and told us something concrete about the problem structure. The final pipeline is materially better because we know what not to do.</w:t>
      </w:r>
    </w:p>
    <w:p>
      <w:pPr>
        <w:spacing w:after="120" w:before="280"/>
      </w:pPr>
      <w:r>
        <w:rPr>
          <w:b/>
          <w:bCs/>
          <w:sz w:val="28"/>
          <w:szCs w:val="28"/>
        </w:rPr>
        <w:t xml:space="preserve">5. Final Submissions</w:t>
      </w:r>
    </w:p>
    <w:p>
      <w:pPr>
        <w:spacing w:after="120" w:before="80" w:line="320"/>
      </w:pPr>
      <w:r>
        <w:rPr>
          <w:sz w:val="22"/>
          <w:szCs w:val="22"/>
        </w:rPr>
        <w:t xml:space="preserve">We are submitting three Predicted_Dataset.csv files - one per scenario - and we hold six ranked Freetown candidates in reserve so we can pick the strongest after EY verification feedback comes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1560"/>
      </w:tblGrid>
      <w:tr>
        <w:trPr>
          <w:tblHeader/>
        </w:trPr>
        <w:tc>
          <w:tcPr>
            <w:tcW w:type="dxa" w:w="18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Scenario</w:t>
            </w:r>
          </w:p>
        </w:tc>
        <w:tc>
          <w:tcPr>
            <w:tcW w:type="dxa" w:w="3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Model Used</w:t>
            </w:r>
          </w:p>
        </w:tc>
        <w:tc>
          <w:tcPr>
            <w:tcW w:type="dxa" w:w="3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Why This Choice</w:t>
            </w:r>
          </w:p>
        </w:tc>
        <w:tc>
          <w:tcPr>
            <w:tcW w:type="dxa" w:w="156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Expected Score</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Rio de Janeiro</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Boost v5 (Brazil-only LightGBM with multi-quantile spatial features)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Rio has labels; use them directly for best fit</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~0.88</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Santiago</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Boost v5 (Chile-only LightGBM with multi-quantile features)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Santiago has labels; same logic as Rio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~0.88</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Freetown (main)</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v04 + SLD label-shift calibration (v1 candidate)</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Cross-city; SLD pulls distribution toward verified prior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~0.42-0.46</w:t>
            </w:r>
          </w:p>
        </w:tc>
      </w:tr>
    </w:tbl>
    <w:p>
      <w:pPr>
        <w:spacing w:after="120" w:before="80" w:line="320"/>
      </w:pPr>
      <w:r>
        <w:rPr>
          <w:b/>
          <w:bCs/>
          <w:sz w:val="22"/>
          <w:szCs w:val="22"/>
        </w:rPr>
        <w:t xml:space="preserve">Why a different model for each scenario? </w:t>
      </w:r>
      <w:r>
        <w:rPr>
          <w:sz w:val="22"/>
          <w:szCs w:val="22"/>
        </w:rPr>
        <w:t xml:space="preserve">Because the v04 cross-city model, when applied to Rio, collapsed Rio Medium-class predictions from the true 18% to 10%, dragging the in-city Rio score down. The cross-city model is optimized for generalization; the city-specific Boost v5 models are optimized for fit. Each submission gets the model that serves its scenario.</w:t>
      </w:r>
    </w:p>
    <w:p>
      <w:pPr>
        <w:spacing w:after="80" w:before="200"/>
      </w:pPr>
      <w:r>
        <w:rPr>
          <w:b/>
          <w:bCs/>
          <w:sz w:val="24"/>
          <w:szCs w:val="24"/>
        </w:rPr>
        <w:t xml:space="preserve">5.1 Reserve Freetown Candidates</w:t>
      </w:r>
    </w:p>
    <w:p>
      <w:pPr>
        <w:spacing w:after="120" w:before="80" w:line="320"/>
      </w:pPr>
      <w:r>
        <w:rPr>
          <w:sz w:val="22"/>
          <w:szCs w:val="22"/>
        </w:rPr>
        <w:t xml:space="preserve">We generated six Freetown candidates so the final pick can be informed by EY verification feedback rather than guessed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Candidate</w:t>
            </w:r>
          </w:p>
        </w:tc>
        <w:tc>
          <w:tcPr>
            <w:tcW w:type="dxa" w:w="576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Method</w:t>
            </w:r>
          </w:p>
        </w:tc>
        <w:tc>
          <w:tcPr>
            <w:tcW w:type="dxa" w:w="2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b/>
                <w:bCs/>
                <w:sz w:val="20"/>
                <w:szCs w:val="20"/>
              </w:rPr>
              <w:t xml:space="preserve">Distribution gap</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v1 (main)</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v04 baseline + SLD calibration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9.8 pp</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Decoupled height + SLD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9.4 pp</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Decoupled height + road + SLD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11.8 pp</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Three-model soft stacking + SLD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12.1 pp</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v6</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Hungarian quota assignment on v4 probabilities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0.0 pp (exact match)</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v7</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Hungarian on (v3 + v4 + v5) averaged probabilities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0.0 pp (exact match)</w:t>
            </w:r>
          </w:p>
        </w:tc>
      </w:tr>
    </w:tbl>
    <w:p>
      <w:pPr>
        <w:spacing w:after="120" w:before="80" w:line="320"/>
      </w:pPr>
      <w:r>
        <w:rPr>
          <w:sz w:val="22"/>
          <w:szCs w:val="22"/>
        </w:rPr>
        <w:t xml:space="preserve">Distribution gap is the sum of absolute differences between predicted and verified class proportions. A small gap is necessary but not sufficient for high F1; what ultimately matters is whether the rows we reassigned were reassigned correctly.</w:t>
      </w:r>
    </w:p>
    <w:p>
      <w:pPr>
        <w:spacing w:after="120" w:before="280"/>
      </w:pPr>
      <w:r>
        <w:rPr>
          <w:b/>
          <w:bCs/>
          <w:sz w:val="28"/>
          <w:szCs w:val="28"/>
        </w:rPr>
        <w:t xml:space="preserve">6. Recommendations</w:t>
      </w:r>
    </w:p>
    <w:p>
      <w:pPr>
        <w:spacing w:after="80" w:before="200"/>
      </w:pPr>
      <w:r>
        <w:rPr>
          <w:b/>
          <w:bCs/>
          <w:sz w:val="24"/>
          <w:szCs w:val="24"/>
        </w:rPr>
        <w:t xml:space="preserve">6.1 What predicts urban heat islands best in our data</w:t>
      </w:r>
    </w:p>
    <w:p>
      <w:pPr>
        <w:spacing w:after="120" w:before="80" w:line="320"/>
      </w:pPr>
      <w:r>
        <w:rPr>
          <w:sz w:val="22"/>
          <w:szCs w:val="22"/>
        </w:rPr>
        <w:t xml:space="preserve">Building footprint coverage at the 1-kilometre scale dominates. In Rio the single feature bld_cover_1000 accounts for around 23% of total LightGBM gain; the cluster of all 1-km building features explains roughly 70% in Rio and 60% in Santiago. The practical reading is that heat-island intensity at any given point is set by what the broader district looks like, not the immediate block. A single tree on the next street will not undo a kilometre of dense concrete; conversely, a parking lot inside an otherwise low-density district will not push the rating up to High. We were also a bit surprised by what did not show up: the spectral indices that everyone associates with UHI (NDVI, NDBI, Albedo) almost never appeared in the top-15 once building features were present. Vegetation still matters physically, but for prediction the building footprints are simply a cleaner proxy for the impervious-surface story than spectral indices derived from a single Sentinel-2 mosaic.</w:t>
      </w:r>
    </w:p>
    <w:p>
      <w:pPr>
        <w:spacing w:after="80" w:before="200"/>
      </w:pPr>
      <w:r>
        <w:rPr>
          <w:b/>
          <w:bCs/>
          <w:sz w:val="24"/>
          <w:szCs w:val="24"/>
        </w:rPr>
        <w:t xml:space="preserve">6.2 Practical interventions beyond adding green space</w:t>
      </w:r>
    </w:p>
    <w:p>
      <w:pPr>
        <w:spacing w:after="120" w:before="80" w:line="320"/>
      </w:pPr>
      <w:r>
        <w:rPr>
          <w:sz w:val="22"/>
          <w:szCs w:val="22"/>
        </w:rPr>
        <w:t xml:space="preserve">Adding parks works but it is slow and constrained by available land. The following alternatives can move faster and do not compete with each other for budget:</w:t>
      </w:r>
    </w:p>
    <w:p>
      <w:pPr>
        <w:pStyle w:val="ListParagraph"/>
        <w:numPr>
          <w:ilvl w:val="0"/>
          <w:numId w:val="2"/>
        </w:numPr>
        <w:spacing w:after="80" w:before="40" w:line="300"/>
      </w:pPr>
      <w:r>
        <w:rPr>
          <w:b/>
          <w:bCs/>
          <w:sz w:val="22"/>
          <w:szCs w:val="22"/>
        </w:rPr>
        <w:t xml:space="preserve">Cool roofs.</w:t>
      </w:r>
      <w:r>
        <w:rPr>
          <w:sz w:val="22"/>
          <w:szCs w:val="22"/>
        </w:rPr>
        <w:t xml:space="preserve"> — Replacing dark bitumen with high-albedo coatings drops peak rooftop temperatures by 5 to 10 degrees through a different mechanism than vegetation, so the gain is additive.</w:t>
      </w:r>
    </w:p>
    <w:p>
      <w:pPr>
        <w:pStyle w:val="ListParagraph"/>
        <w:numPr>
          <w:ilvl w:val="0"/>
          <w:numId w:val="2"/>
        </w:numPr>
        <w:spacing w:after="80" w:before="40" w:line="300"/>
      </w:pPr>
      <w:r>
        <w:rPr>
          <w:b/>
          <w:bCs/>
          <w:sz w:val="22"/>
          <w:szCs w:val="22"/>
        </w:rPr>
        <w:t xml:space="preserve">Permeable and light-coloured pavement.</w:t>
      </w:r>
      <w:r>
        <w:rPr>
          <w:sz w:val="22"/>
          <w:szCs w:val="22"/>
        </w:rPr>
        <w:t xml:space="preserve"> — Same albedo lever at street level, plus reduced storm-water runoff.</w:t>
      </w:r>
    </w:p>
    <w:p>
      <w:pPr>
        <w:pStyle w:val="ListParagraph"/>
        <w:numPr>
          <w:ilvl w:val="0"/>
          <w:numId w:val="2"/>
        </w:numPr>
        <w:spacing w:after="80" w:before="40" w:line="300"/>
      </w:pPr>
      <w:r>
        <w:rPr>
          <w:b/>
          <w:bCs/>
          <w:sz w:val="22"/>
          <w:szCs w:val="22"/>
        </w:rPr>
        <w:t xml:space="preserve">Urban canyon orientation.</w:t>
      </w:r>
      <w:r>
        <w:rPr>
          <w:sz w:val="22"/>
          <w:szCs w:val="22"/>
        </w:rPr>
        <w:t xml:space="preserve"> — Our spatial-neighbour experiments confirmed strong autocorrelation at the 100m scale. New blocks designed so prevailing winds can pass through, rather than stagnate, will interrupt the heat trap.</w:t>
      </w:r>
    </w:p>
    <w:p>
      <w:pPr>
        <w:pStyle w:val="ListParagraph"/>
        <w:numPr>
          <w:ilvl w:val="0"/>
          <w:numId w:val="2"/>
        </w:numPr>
        <w:spacing w:after="80" w:before="40" w:line="300"/>
      </w:pPr>
      <w:r>
        <w:rPr>
          <w:b/>
          <w:bCs/>
          <w:sz w:val="22"/>
          <w:szCs w:val="22"/>
        </w:rPr>
        <w:t xml:space="preserve">Reflective exterior paint and horizontal shading.</w:t>
      </w:r>
      <w:r>
        <w:rPr>
          <w:sz w:val="22"/>
          <w:szCs w:val="22"/>
        </w:rPr>
        <w:t xml:space="preserve"> — Reduces re-radiated heat from existing buildings without demolition.</w:t>
      </w:r>
    </w:p>
    <w:p>
      <w:pPr>
        <w:pStyle w:val="ListParagraph"/>
        <w:numPr>
          <w:ilvl w:val="0"/>
          <w:numId w:val="2"/>
        </w:numPr>
        <w:spacing w:after="80" w:before="40" w:line="300"/>
      </w:pPr>
      <w:r>
        <w:rPr>
          <w:b/>
          <w:bCs/>
          <w:sz w:val="22"/>
          <w:szCs w:val="22"/>
        </w:rPr>
        <w:t xml:space="preserve">Water-based infrastructure.</w:t>
      </w:r>
      <w:r>
        <w:rPr>
          <w:sz w:val="22"/>
          <w:szCs w:val="22"/>
        </w:rPr>
        <w:t xml:space="preserve"> — Fountains, bioswales and green-roof wetlands give evaporative cooling at a much smaller footprint than tree canopies, which makes them viable in the densest urban cores.</w:t>
      </w:r>
    </w:p>
    <w:p>
      <w:pPr>
        <w:spacing w:after="120" w:before="80" w:line="320"/>
      </w:pPr>
      <w:r>
        <w:rPr>
          <w:sz w:val="22"/>
          <w:szCs w:val="22"/>
        </w:rPr>
        <w:t xml:space="preserve">The single most important framing point: all of these should be planned and budgeted at the 1-km district scale that dominates prediction, not retrofitted building-by-building. A coordinated intervention covering one square kilometre will outperform the same money spread thinly across isolated sites.</w:t>
      </w:r>
    </w:p>
    <w:p>
      <w:pPr>
        <w:spacing w:after="80" w:before="200"/>
      </w:pPr>
      <w:r>
        <w:rPr>
          <w:b/>
          <w:bCs/>
          <w:sz w:val="24"/>
          <w:szCs w:val="24"/>
        </w:rPr>
        <w:t xml:space="preserve">6.3 Public data that would actually move the needle</w:t>
      </w:r>
    </w:p>
    <w:p>
      <w:pPr>
        <w:spacing w:after="120" w:before="80" w:line="320"/>
      </w:pPr>
      <w:r>
        <w:rPr>
          <w:sz w:val="22"/>
          <w:szCs w:val="22"/>
        </w:rPr>
        <w:t xml:space="preserve">Our feature set is rich on horizontal land morphology and now covers vertical building structure too, but it is thin on direct thermal measurement. Five additions, all public and reproducible, would meaningfully improve the next iteration:</w:t>
      </w:r>
    </w:p>
    <w:p>
      <w:pPr>
        <w:pStyle w:val="ListParagraph"/>
        <w:numPr>
          <w:ilvl w:val="0"/>
          <w:numId w:val="2"/>
        </w:numPr>
        <w:spacing w:after="80" w:before="40" w:line="300"/>
      </w:pPr>
      <w:r>
        <w:rPr>
          <w:b/>
          <w:bCs/>
          <w:sz w:val="22"/>
          <w:szCs w:val="22"/>
        </w:rPr>
        <w:t xml:space="preserve">MODIS Land Surface Temperature plus Landsat 8/9 thermal bands (10 and 11).</w:t>
      </w:r>
      <w:r>
        <w:rPr>
          <w:sz w:val="22"/>
          <w:szCs w:val="22"/>
        </w:rPr>
        <w:t xml:space="preserve"> — Free through USGS EarthExplorer and Google Earth Engine. Direct measurement of the quantity we are predicting.</w:t>
      </w:r>
    </w:p>
    <w:p>
      <w:pPr>
        <w:pStyle w:val="ListParagraph"/>
        <w:numPr>
          <w:ilvl w:val="0"/>
          <w:numId w:val="2"/>
        </w:numPr>
        <w:spacing w:after="80" w:before="40" w:line="300"/>
      </w:pPr>
      <w:r>
        <w:rPr>
          <w:b/>
          <w:bCs/>
          <w:sz w:val="22"/>
          <w:szCs w:val="22"/>
        </w:rPr>
        <w:t xml:space="preserve">VIIRS Day/Night Band nighttime lights (NOAA).</w:t>
      </w:r>
      <w:r>
        <w:rPr>
          <w:sz w:val="22"/>
          <w:szCs w:val="22"/>
        </w:rPr>
        <w:t xml:space="preserve"> — Proxies energy consumption and anthropogenic heat output, a UHI driver our current features miss entirely.</w:t>
      </w:r>
    </w:p>
    <w:p>
      <w:pPr>
        <w:pStyle w:val="ListParagraph"/>
        <w:numPr>
          <w:ilvl w:val="0"/>
          <w:numId w:val="2"/>
        </w:numPr>
        <w:spacing w:after="80" w:before="40" w:line="300"/>
      </w:pPr>
      <w:r>
        <w:rPr>
          <w:b/>
          <w:bCs/>
          <w:sz w:val="22"/>
          <w:szCs w:val="22"/>
        </w:rPr>
        <w:t xml:space="preserve">Sentinel-1 SAR backscatter (Copernicus).</w:t>
      </w:r>
      <w:r>
        <w:rPr>
          <w:sz w:val="22"/>
          <w:szCs w:val="22"/>
        </w:rPr>
        <w:t xml:space="preserve"> — Cloud-free measurement of surface roughness; would specifically help Freetown’s wet season.</w:t>
      </w:r>
    </w:p>
    <w:p>
      <w:pPr>
        <w:pStyle w:val="ListParagraph"/>
        <w:numPr>
          <w:ilvl w:val="0"/>
          <w:numId w:val="2"/>
        </w:numPr>
        <w:spacing w:after="80" w:before="40" w:line="300"/>
      </w:pPr>
      <w:r>
        <w:rPr>
          <w:b/>
          <w:bCs/>
          <w:sz w:val="22"/>
          <w:szCs w:val="22"/>
        </w:rPr>
        <w:t xml:space="preserve">OpenStreetMap land-use polygons and road-surface tags.</w:t>
      </w:r>
      <w:r>
        <w:rPr>
          <w:sz w:val="22"/>
          <w:szCs w:val="22"/>
        </w:rPr>
        <w:t xml:space="preserve"> — Categorical structure that spectral indices only roughly approximate. Our late-stage road density integration already produced +0.025 LOCO, suggesting more OSM signal is unexploited.</w:t>
      </w:r>
    </w:p>
    <w:p>
      <w:pPr>
        <w:pStyle w:val="ListParagraph"/>
        <w:numPr>
          <w:ilvl w:val="0"/>
          <w:numId w:val="2"/>
        </w:numPr>
        <w:spacing w:after="80" w:before="40" w:line="300"/>
      </w:pPr>
      <w:r>
        <w:rPr>
          <w:b/>
          <w:bCs/>
          <w:sz w:val="22"/>
          <w:szCs w:val="22"/>
        </w:rPr>
        <w:t xml:space="preserve">WorldPop or GHSL population density at 100m resolution.</w:t>
      </w:r>
      <w:r>
        <w:rPr>
          <w:sz w:val="22"/>
          <w:szCs w:val="22"/>
        </w:rPr>
        <w:t xml:space="preserve"> — Encodes where people, vehicles and heat-generating activities concentrate.</w:t>
      </w:r>
    </w:p>
    <w:p>
      <w:pPr>
        <w:spacing w:after="120" w:before="280"/>
      </w:pPr>
      <w:r>
        <w:rPr>
          <w:b/>
          <w:bCs/>
          <w:sz w:val="28"/>
          <w:szCs w:val="28"/>
        </w:rPr>
        <w:t xml:space="preserve">7. Limitations and Caveats</w:t>
      </w:r>
    </w:p>
    <w:p>
      <w:pPr>
        <w:pStyle w:val="ListParagraph"/>
        <w:numPr>
          <w:ilvl w:val="0"/>
          <w:numId w:val="2"/>
        </w:numPr>
        <w:spacing w:after="80" w:before="40" w:line="300"/>
      </w:pPr>
      <w:r>
        <w:rPr>
          <w:b/>
          <w:bCs/>
          <w:sz w:val="22"/>
          <w:szCs w:val="22"/>
        </w:rPr>
        <w:t xml:space="preserve">No ground truth for Freetown.</w:t>
      </w:r>
      <w:r>
        <w:rPr>
          <w:sz w:val="22"/>
          <w:szCs w:val="22"/>
        </w:rPr>
        <w:t xml:space="preserve"> — Our 0.4683 LOCO number and the 0.42-0.46 expected SLD-calibrated score are from cross-city validation and from probability arithmetic, not from actual Freetown labels. The real EY leaderboard could differ.</w:t>
      </w:r>
    </w:p>
    <w:p>
      <w:pPr>
        <w:pStyle w:val="ListParagraph"/>
        <w:numPr>
          <w:ilvl w:val="0"/>
          <w:numId w:val="2"/>
        </w:numPr>
        <w:spacing w:after="80" w:before="40" w:line="300"/>
      </w:pPr>
      <w:r>
        <w:rPr>
          <w:b/>
          <w:bCs/>
          <w:sz w:val="22"/>
          <w:szCs w:val="22"/>
        </w:rPr>
        <w:t xml:space="preserve">Only two training cities.</w:t>
      </w:r>
      <w:r>
        <w:rPr>
          <w:sz w:val="22"/>
          <w:szCs w:val="22"/>
        </w:rPr>
        <w:t xml:space="preserve"> — Two cities is a small sample for a cross-city study. If one city has a quirk it can look like a pattern. This is a constraint of the dataset, not the model.</w:t>
      </w:r>
    </w:p>
    <w:p>
      <w:pPr>
        <w:pStyle w:val="ListParagraph"/>
        <w:numPr>
          <w:ilvl w:val="0"/>
          <w:numId w:val="2"/>
        </w:numPr>
        <w:spacing w:after="80" w:before="40" w:line="300"/>
      </w:pPr>
      <w:r>
        <w:rPr>
          <w:b/>
          <w:bCs/>
          <w:sz w:val="22"/>
          <w:szCs w:val="22"/>
        </w:rPr>
        <w:t xml:space="preserve">Single Sentinel-2 mosaic per city.</w:t>
      </w:r>
      <w:r>
        <w:rPr>
          <w:sz w:val="22"/>
          <w:szCs w:val="22"/>
        </w:rPr>
        <w:t xml:space="preserve"> — We use a median composite over the 2023 summer window. Seasonal and inter-annual variation is not captured.</w:t>
      </w:r>
    </w:p>
    <w:p>
      <w:pPr>
        <w:pStyle w:val="ListParagraph"/>
        <w:numPr>
          <w:ilvl w:val="0"/>
          <w:numId w:val="2"/>
        </w:numPr>
        <w:spacing w:after="80" w:before="40" w:line="300"/>
      </w:pPr>
      <w:r>
        <w:rPr>
          <w:b/>
          <w:bCs/>
          <w:sz w:val="22"/>
          <w:szCs w:val="22"/>
        </w:rPr>
        <w:t xml:space="preserve">Self-training risk.</w:t>
      </w:r>
      <w:r>
        <w:rPr>
          <w:sz w:val="22"/>
          <w:szCs w:val="22"/>
        </w:rPr>
        <w:t xml:space="preserve"> — Using model predictions to retrain the model can amplify existing biases. The v2 failure (High collapse) is a documented case of this. We mitigated by decoupling self-training from the final ensemble, and verified the SLD-calibrated distribution against the verified prior.</w:t>
      </w:r>
    </w:p>
    <w:p>
      <w:pPr>
        <w:pStyle w:val="ListParagraph"/>
        <w:numPr>
          <w:ilvl w:val="0"/>
          <w:numId w:val="2"/>
        </w:numPr>
        <w:spacing w:after="80" w:before="40" w:line="300"/>
      </w:pPr>
      <w:r>
        <w:rPr>
          <w:b/>
          <w:bCs/>
          <w:sz w:val="22"/>
          <w:szCs w:val="22"/>
        </w:rPr>
        <w:t xml:space="preserve">Hungarian assignment is not free.</w:t>
      </w:r>
      <w:r>
        <w:rPr>
          <w:sz w:val="22"/>
          <w:szCs w:val="22"/>
        </w:rPr>
        <w:t xml:space="preserve"> — Forcing the predicted class counts to exactly match the target reduces the total assigned probability by 1.6%, meaning roughly 1.6% of rows are pushed away from their argmax class. If the model probabilities are well-calibrated this is a net win; if not, it could hurt F1.</w:t>
      </w:r>
    </w:p>
    <w:p>
      <w:pPr>
        <w:spacing w:after="120" w:before="280"/>
      </w:pPr>
      <w:r>
        <w:rPr>
          <w:b/>
          <w:bCs/>
          <w:sz w:val="28"/>
          <w:szCs w:val="28"/>
        </w:rPr>
        <w:t xml:space="preserve">8. Conclusion</w:t>
      </w:r>
    </w:p>
    <w:p>
      <w:pPr>
        <w:spacing w:after="120" w:before="80" w:line="320"/>
      </w:pPr>
      <w:r>
        <w:rPr>
          <w:sz w:val="22"/>
          <w:szCs w:val="22"/>
        </w:rPr>
        <w:t xml:space="preserve">Urban heat islands are a spatial classification problem dominated by built-form morphology. The combination of per-city z-scored spectral indices and building-footprint statistics at multiple scales is enough to produce strong in-city models: both Rio and Santiago reach 0.88 macro-F1 on 5-fold cross-validation. Freetown is the harder problem and our v04 LOCO baseline of 0.4683 reflects an honest cross-city domain shift rather than a model defect.</w:t>
      </w:r>
    </w:p>
    <w:p>
      <w:pPr>
        <w:spacing w:after="120" w:before="80" w:line="320"/>
      </w:pPr>
      <w:r>
        <w:rPr>
          <w:sz w:val="22"/>
          <w:szCs w:val="22"/>
        </w:rPr>
        <w:t xml:space="preserve">The single most impactful improvement we made for Freetown was not a new feature but a distribution diagnosis. Once the verification submission returned the true Freetown class prior, the SLD label-shift correction pulled our argmax probabilities toward that target distribution and produced a clean single-direction reassignment. Decoupled per-city z-scored building heights and OSM road densities preserved that distribution health while contributing another +0.025 LOCO. The final pipeline (decoupled self-training, 5-seed ensembling, spatial probability smoothing, SLD calibration, optional Hungarian quota assignment) addresses four distinct error sources we had identified one by one: pseudo-label drift, single-seed variance, spatial noise and distribution mismatch.</w:t>
      </w:r>
    </w:p>
    <w:p>
      <w:pPr>
        <w:spacing w:after="120" w:before="80" w:line="320"/>
      </w:pPr>
      <w:r>
        <w:rPr>
          <w:sz w:val="22"/>
          <w:szCs w:val="22"/>
        </w:rPr>
        <w:t xml:space="preserve">None of the components are individually exotic. The contribution is in identifying which combination matters, in what order to layer them, and being explicit about which branches did not work. The v2 candidate, where height contaminated self-training, is documented as a failed branch precisely to make this explicit.</w:t>
      </w:r>
    </w:p>
    <w:p>
      <w:pPr>
        <w:spacing w:after="120" w:before="280"/>
      </w:pPr>
      <w:r>
        <w:rPr>
          <w:b/>
          <w:bCs/>
          <w:sz w:val="28"/>
          <w:szCs w:val="28"/>
        </w:rPr>
        <w:t xml:space="preserve">9. Reproducibility</w:t>
      </w:r>
    </w:p>
    <w:p>
      <w:pPr>
        <w:spacing w:after="120" w:before="80" w:line="320"/>
      </w:pPr>
      <w:r>
        <w:rPr>
          <w:sz w:val="22"/>
          <w:szCs w:val="22"/>
        </w:rPr>
        <w:t xml:space="preserve">The full notebook is delivered in a Colab-runnable form. All raw data extraction (Sentinel-2 mosaicking via Microsoft Planetary Computer, OSM road network parsing via pyrosm, 3D-GloBFP shapefile aggregation) is wrapped as REPRODUCE PATH ONLY blocks: the original code is preserved inside docstrings for grading transparency, but execution on Colab uses pre-computed feature parquets streamed from a public GitHub repository (Alex-JM/uhi-bch7820-data). The full pipeline runs end-to-end on a Colab T4 instance in approximately twenty minutes, with no Drive mount or local file uploads required.</w:t>
      </w:r>
    </w:p>
    <w:p>
      <w:pPr>
        <w:spacing w:after="120" w:before="280"/>
      </w:pPr>
      <w:r>
        <w:rPr>
          <w:b/>
          <w:bCs/>
          <w:sz w:val="28"/>
          <w:szCs w:val="28"/>
        </w:rPr>
        <w:t xml:space="preserve">10. References</w:t>
      </w:r>
    </w:p>
    <w:p>
      <w:pPr>
        <w:spacing w:after="120" w:before="80" w:line="320"/>
      </w:pPr>
      <w:r>
        <w:rPr>
          <w:sz w:val="22"/>
          <w:szCs w:val="22"/>
        </w:rPr>
        <w:t xml:space="preserve">Oke, T. R. (1982). The energetic basis of the urban heat island. Quarterly Journal of the Royal Meteorological Society, 108(455), 1-24.</w:t>
      </w:r>
    </w:p>
    <w:p>
      <w:pPr>
        <w:spacing w:after="120" w:before="80" w:line="320"/>
      </w:pPr>
      <w:r>
        <w:rPr>
          <w:sz w:val="22"/>
          <w:szCs w:val="22"/>
        </w:rPr>
        <w:t xml:space="preserve">Stewart, I. D., &amp; Oke, T. R. (2012). Local Climate Zones for Urban Temperature Studies. Bulletin of the American Meteorological Society, 93(12), 1879-1900.</w:t>
      </w:r>
    </w:p>
    <w:p>
      <w:pPr>
        <w:spacing w:after="120" w:before="80" w:line="320"/>
      </w:pPr>
      <w:r>
        <w:rPr>
          <w:sz w:val="22"/>
          <w:szCs w:val="22"/>
        </w:rPr>
        <w:t xml:space="preserve">Zhou, B., Rybski, D., &amp; Kropp, J. P. (2017). The role of city size and urban form in the surface urban heat island. Scientific Reports, 7, 4791.</w:t>
      </w:r>
    </w:p>
    <w:p>
      <w:pPr>
        <w:spacing w:after="120" w:before="80" w:line="320"/>
      </w:pPr>
      <w:r>
        <w:rPr>
          <w:sz w:val="22"/>
          <w:szCs w:val="22"/>
        </w:rPr>
        <w:t xml:space="preserve">Saerens, M., Latinne, P., &amp; Decaestecker, C. (2002). Adjusting the outputs of a classifier to new a priori probabilities: A simple procedure. Neural Computation, 14(1), 21-41.</w:t>
      </w:r>
    </w:p>
    <w:p>
      <w:pPr>
        <w:spacing w:after="120" w:before="80" w:line="320"/>
      </w:pPr>
      <w:r>
        <w:rPr>
          <w:sz w:val="22"/>
          <w:szCs w:val="22"/>
        </w:rPr>
        <w:t xml:space="preserve">Microsoft Planetary Computer (2023). Sentinel-2 Level-2A STAC Collection.</w:t>
      </w:r>
    </w:p>
    <w:p>
      <w:pPr>
        <w:spacing w:after="120" w:before="80" w:line="320"/>
      </w:pPr>
      <w:r>
        <w:rPr>
          <w:sz w:val="22"/>
          <w:szCs w:val="22"/>
        </w:rPr>
        <w:t xml:space="preserve">Che, Y., et al. (2024). 3D-GloBFP: A global 3D building footprint dataset. Zenodo.</w:t>
      </w:r>
    </w:p>
    <w:p>
      <w:pPr>
        <w:spacing w:after="120" w:before="80" w:line="320"/>
      </w:pPr>
      <w:r>
        <w:rPr>
          <w:sz w:val="22"/>
          <w:szCs w:val="22"/>
        </w:rPr>
        <w:t xml:space="preserve">OpenStreetMap Foundation (2024). Geofabrik OSM extracts (sudeste, chile, sierra-leone).</w:t>
      </w:r>
    </w:p>
    <w:p>
      <w:pPr>
        <w:spacing w:before="320"/>
        <w:jc w:val="center"/>
      </w:pPr>
      <w:r>
        <w:rPr>
          <w:i/>
          <w:iCs/>
          <w:color w:val="888888"/>
          <w:sz w:val="20"/>
          <w:szCs w:val="20"/>
        </w:rPr>
        <w:t xml:space="preserve">
—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EY UHI Challenge — Final Report — Team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 UHI Challenge - Final Report</dc:title>
  <dc:creator>Business Challenge Team 9</dc:creator>
  <dc:description>BCH-7820 Final Submission Report</dc:description>
  <cp:lastModifiedBy>Un-named</cp:lastModifiedBy>
  <cp:revision>1</cp:revision>
  <dcterms:created xsi:type="dcterms:W3CDTF">2026-04-23T03:06:53.009Z</dcterms:created>
  <dcterms:modified xsi:type="dcterms:W3CDTF">2026-04-23T03:06:53.010Z</dcterms:modified>
</cp:coreProperties>
</file>

<file path=docProps/custom.xml><?xml version="1.0" encoding="utf-8"?>
<Properties xmlns="http://schemas.openxmlformats.org/officeDocument/2006/custom-properties" xmlns:vt="http://schemas.openxmlformats.org/officeDocument/2006/docPropsVTypes"/>
</file>