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rPr>
        <w:t>UNIVERSIDAD NACIONAL JORGE BASADRE GROHMANN</w:t>
      </w:r>
    </w:p>
    <w:p>
      <w:pPr>
        <w:pStyle w:val="Title"/>
        <w:jc w:val="center"/>
      </w:pPr>
      <w:r>
        <w:t>Guion de sustentación</w:t>
        <w:br/>
        <w:t>Expediente de Proceso — Unidad I</w:t>
      </w:r>
    </w:p>
    <w:p>
      <w:pPr>
        <w:jc w:val="center"/>
      </w:pPr>
      <w:r>
        <w:t>HELA · Equipo Nexo · Ingeniería de Software I · 2026-II</w:t>
      </w:r>
      <w:r>
        <w:br/>
        <w:t>Duración objetivo: 12–15 minutos · Corte: 20 de octubre de 2026</w:t>
      </w:r>
    </w:p>
    <w:p>
      <w:r>
        <w:br w:type="page"/>
      </w:r>
    </w:p>
    <w:p>
      <w:pPr>
        <w:pStyle w:val="Heading1"/>
      </w:pPr>
      <w:r>
        <w:t>Orientación de uso</w:t>
      </w:r>
    </w:p>
    <w:p>
      <w:r>
        <w:t>Este guion acompaña la presentación editable. No propone memorizar texto literal: organiza una defensa basada en afirmación, evidencia, límite e implicación. Los nombres de responsables o expositores pueden asignarse antes de la sesión.</w:t>
      </w:r>
    </w:p>
    <w:p>
      <w:pPr>
        <w:pStyle w:val="Heading1"/>
        <w:pBdr>
          <w:bottom w:val="single" w:sz="10" w:space="5" w:color="C8A24A"/>
        </w:pBdr>
      </w:pPr>
      <w:r>
        <w:t>Diapositiva 1. Apertura: del proceso declarado al demostrado</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Situar el producto académico y la tesis de la defensa.</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Expediente S01–S08, repositorio oficial y corte 6590255.</w:t>
            </w:r>
          </w:p>
        </w:tc>
      </w:tr>
    </w:tbl>
    <w:p>
      <w:pPr>
        <w:pStyle w:val="Heading2"/>
      </w:pPr>
      <w:r>
        <w:t>Guion sugerido</w:t>
      </w:r>
    </w:p>
    <w:p>
      <w:pPr>
        <w:jc w:val="both"/>
      </w:pPr>
      <w:r>
        <w:t>Buenos días. Presentamos el Expediente de Proceso de la Unidad I de HELA, elaborado por el Equipo Nexo. Nuestra tesis es simple: un proceso es defendible cuando cada afirmación conduce a una evidencia que un tercero puede abrir. Por eso no mostramos una colección de archivos; mostramos una cadena entre decisiones, ejecución, medición y límites. El corte corresponde al develop oficial al 20 de octubre de 2026.</w:t>
      </w:r>
    </w:p>
    <w:p>
      <w:pPr>
        <w:pStyle w:val="IntenseQuote"/>
      </w:pPr>
      <w:r>
        <w:t>Transición: Primero resumiremos cómo evolucionó el trabajo semana a semana.</w:t>
      </w:r>
    </w:p>
    <w:p>
      <w:pPr>
        <w:pStyle w:val="Heading1"/>
        <w:pBdr>
          <w:bottom w:val="single" w:sz="10" w:space="5" w:color="C8A24A"/>
        </w:pBdr>
      </w:pPr>
      <w:r>
        <w:t>Diapositiva 2. Ruta S01–S08</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Explicar la progresión académica sin inventar una S05.</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Mapa semanal, entregables y enlaces de consulta.</w:t>
            </w:r>
          </w:p>
        </w:tc>
      </w:tr>
    </w:tbl>
    <w:p>
      <w:pPr>
        <w:pStyle w:val="Heading2"/>
      </w:pPr>
      <w:r>
        <w:t>Guion sugerido</w:t>
      </w:r>
    </w:p>
    <w:p>
      <w:pPr>
        <w:jc w:val="both"/>
      </w:pPr>
      <w:r>
        <w:t>La Unidad I se construyó progresivamente. S01 estableció el marco del equipo; S02 definió ciclo de vida, contrato y primera rebanada; S03 formalizó DoR y DoD; S04 instrumentó métricas; S05 no fue dictada y por eso no se presenta como vacío del equipo; S06 y S07 registraron control del Sprint 1, deuda y mejora; S08 consolidó evidencia. Esta secuencia evita leer los entregables como piezas aisladas.</w:t>
      </w:r>
    </w:p>
    <w:p>
      <w:pPr>
        <w:pStyle w:val="IntenseQuote"/>
      </w:pPr>
      <w:r>
        <w:t>Transición: Esa progresión se apoya en una estrategia técnica concreta.</w:t>
      </w:r>
    </w:p>
    <w:p>
      <w:pPr>
        <w:pStyle w:val="Heading1"/>
        <w:pBdr>
          <w:bottom w:val="single" w:sz="10" w:space="5" w:color="C8A24A"/>
        </w:pBdr>
      </w:pPr>
      <w:r>
        <w:t>Diapositiva 3. Ciclo iterativo-incremental y CU-06</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Vincular proceso, contrato y ejecución.</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OpenAPI v0.2.1, PR #8, módulo carta-qr y PR #40.</w:t>
            </w:r>
          </w:p>
        </w:tc>
      </w:tr>
    </w:tbl>
    <w:p>
      <w:pPr>
        <w:pStyle w:val="Heading2"/>
      </w:pPr>
      <w:r>
        <w:t>Guion sugerido</w:t>
      </w:r>
    </w:p>
    <w:p>
      <w:pPr>
        <w:jc w:val="both"/>
      </w:pPr>
      <w:r>
        <w:t>Adoptamos un ciclo iterativo-incremental porque el proyecto partía de una especificación y arquitectura heredadas. La primera comprobación vertical fue CU-06: una solicitud HTTP atraviesa ruta, controlador, servicio y repositorio, y retorna JSON. El PR #8 estableció la rebanada; el PR #40 reforzó las restricciones del contrato. La vigencia definitiva del pedido no se inventó: sigue como decisión funcional en el Issue #6.</w:t>
      </w:r>
    </w:p>
    <w:p>
      <w:pPr>
        <w:pStyle w:val="IntenseQuote"/>
      </w:pPr>
      <w:r>
        <w:t>Transición: Para iniciar y terminar trabajo de manera uniforme necesitábamos acuerdos verificables.</w:t>
      </w:r>
    </w:p>
    <w:p>
      <w:pPr>
        <w:pStyle w:val="Heading1"/>
        <w:pBdr>
          <w:bottom w:val="single" w:sz="10" w:space="5" w:color="C8A24A"/>
        </w:pBdr>
      </w:pPr>
      <w:r>
        <w:t>Diapositiva 4. DoR, DoD y control de configuración</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Mostrar cómo los acuerdos se convierten en controles.</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Paquete S03, guía de contribución, plantillas de Issue y PR.</w:t>
            </w:r>
          </w:p>
        </w:tc>
      </w:tr>
    </w:tbl>
    <w:p>
      <w:pPr>
        <w:pStyle w:val="Heading2"/>
      </w:pPr>
      <w:r>
        <w:t>Guion sugerido</w:t>
      </w:r>
    </w:p>
    <w:p>
      <w:pPr>
        <w:jc w:val="both"/>
      </w:pPr>
      <w:r>
        <w:t>La Definition of Ready exige objetivo, criterios, referencias, dependencias y tratamiento de decisiones abiertas. La Definition of Done agrega coherencia técnica, pruebas, limpieza, trazabilidad y revisión formal cuando corresponde. En S08 se incorporó una comprobación estandarizada en la plantilla de actividades. El primer corte de AM-01 es 1 de 1, pero el Issue #32 sigue abierto porque todavía no existe una muestra suficiente para generalizar el resultado.</w:t>
      </w:r>
    </w:p>
    <w:p>
      <w:pPr>
        <w:pStyle w:val="IntenseQuote"/>
      </w:pPr>
      <w:r>
        <w:t>Transición: Además de reglas, medimos el flujo real del repositorio.</w:t>
      </w:r>
    </w:p>
    <w:p>
      <w:pPr>
        <w:pStyle w:val="Heading1"/>
        <w:pBdr>
          <w:bottom w:val="single" w:sz="10" w:space="5" w:color="C8A24A"/>
        </w:pBdr>
      </w:pPr>
      <w:r>
        <w:t>Diapositiva 5. Panel de métricas S04–S08</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Interpretar los indicadores sin sobreafirmar.</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Script de GitHub API, JSON S04/S08 y PR #41.</w:t>
            </w:r>
          </w:p>
        </w:tc>
      </w:tr>
    </w:tbl>
    <w:p>
      <w:pPr>
        <w:pStyle w:val="Heading2"/>
      </w:pPr>
      <w:r>
        <w:t>Guion sugerido</w:t>
      </w:r>
    </w:p>
    <w:p>
      <w:pPr>
        <w:jc w:val="both"/>
      </w:pPr>
      <w:r>
        <w:t>Usamos la misma ventana de 21 días en S04 y S08. En S08 se observaron cinco PR fusionados, 32,0 horas de promedio y 0,5 horas de mediana. La diferencia se explica por un valor extremo: el PR #35 tardó 158,3 horas. La frecuencia hacia develop fue 1,67 por semana y hacia main fue cero. Son métricas de integración, no de despliegue ni de esfuerzo efectivo.</w:t>
      </w:r>
    </w:p>
    <w:p>
      <w:pPr>
        <w:pStyle w:val="IntenseQuote"/>
      </w:pPr>
      <w:r>
        <w:t>Transición: La siguiente lámina hace visible por qué la mediana es necesaria.</w:t>
      </w:r>
    </w:p>
    <w:p>
      <w:pPr>
        <w:pStyle w:val="Heading1"/>
        <w:pBdr>
          <w:bottom w:val="single" w:sz="10" w:space="5" w:color="C8A24A"/>
        </w:pBdr>
      </w:pPr>
      <w:r>
        <w:t>Diapositiva 6. Distribución del tiempo de entrega</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Explicar la muestra y su valor extremo.</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PR #26, #35, #36, #38 y #40.</w:t>
            </w:r>
          </w:p>
        </w:tc>
      </w:tr>
    </w:tbl>
    <w:p>
      <w:pPr>
        <w:pStyle w:val="Heading2"/>
      </w:pPr>
      <w:r>
        <w:t>Guion sugerido</w:t>
      </w:r>
    </w:p>
    <w:p>
      <w:pPr>
        <w:jc w:val="both"/>
      </w:pPr>
      <w:r>
        <w:t>Cuatro de los cinco PR se integraron en menos de una hora, mientras uno concentró casi todo el tiempo acumulado. Por eso el promedio de 32 horas no describe el caso típico; la mediana de 0,5 horas lo representa mejor. Conservamos ambos valores porque responden preguntas distintas. Con cinco observaciones no afirmamos una mejora sostenida ni causal.</w:t>
      </w:r>
    </w:p>
    <w:p>
      <w:pPr>
        <w:pStyle w:val="IntenseQuote"/>
      </w:pPr>
      <w:r>
        <w:t>Transición: Pasamos ahora del flujo de Git al seguimiento del Sprint 1.</w:t>
      </w:r>
    </w:p>
    <w:p>
      <w:pPr>
        <w:pStyle w:val="Heading1"/>
        <w:pBdr>
          <w:bottom w:val="single" w:sz="10" w:space="5" w:color="C8A24A"/>
        </w:pBdr>
      </w:pPr>
      <w:r>
        <w:t>Diapositiva 7. Sprint 1: alcance medible y burndown documental</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Defender la medición sin reconstrucciones ficticias.</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Reportes S06–S07, Issues #22, #23, #25 y PR #26.</w:t>
            </w:r>
          </w:p>
        </w:tc>
      </w:tr>
    </w:tbl>
    <w:p>
      <w:pPr>
        <w:pStyle w:val="Heading2"/>
      </w:pPr>
      <w:r>
        <w:t>Guion sugerido</w:t>
      </w:r>
    </w:p>
    <w:p>
      <w:pPr>
        <w:jc w:val="both"/>
      </w:pPr>
      <w:r>
        <w:t>Los reportes trabajan con un subconjunto documental regularizado de 11 puntos. En los dos cortes, cero puntos tenían DoD acreditado. Eso no significa que no hubiera trabajo; significa que el conjunto no podía acreditarse con el criterio definido. Tampoco había historial diario suficiente para un burndown real. Por ello presentamos dos cortes documentales, no una curva reconstruida artificialmente.</w:t>
      </w:r>
    </w:p>
    <w:p>
      <w:pPr>
        <w:pStyle w:val="IntenseQuote"/>
      </w:pPr>
      <w:r>
        <w:t>Transición: Ese análisis permitió priorizar deuda técnica con responsables y evidencias.</w:t>
      </w:r>
    </w:p>
    <w:p>
      <w:pPr>
        <w:pStyle w:val="Heading1"/>
        <w:pBdr>
          <w:bottom w:val="single" w:sz="10" w:space="5" w:color="C8A24A"/>
        </w:pBdr>
      </w:pPr>
      <w:r>
        <w:t>Diapositiva 8. Deuda técnica y corrección verificable</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Distinguir implementación, evidencia y cierre del Issue.</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Catálogo S06, PR #40, Issues #28–#30 y salida de npm test.</w:t>
            </w:r>
          </w:p>
        </w:tc>
      </w:tr>
    </w:tbl>
    <w:p>
      <w:pPr>
        <w:pStyle w:val="Heading2"/>
      </w:pPr>
      <w:r>
        <w:t>Guion sugerido</w:t>
      </w:r>
    </w:p>
    <w:p>
      <w:pPr>
        <w:jc w:val="both"/>
      </w:pPr>
      <w:r>
        <w:t>DT-01 identificó validaciones incompletas; DT-03, cobertura negativa insuficiente. El PR #40 integró validaciones de UUID, cantidades, observaciones y opciones, y amplió la suite a trece pruebas aprobadas. Los Issues #28 y #30 permanecen abiertos porque falta reconciliar sus listas de aceptación y la revisión formal con el DoD. La implementación técnica está demostrada; el cierre documental todavía no.</w:t>
      </w:r>
    </w:p>
    <w:p>
      <w:pPr>
        <w:pStyle w:val="IntenseQuote"/>
      </w:pPr>
      <w:r>
        <w:t>Transición: La evidencia técnica se observa directamente en la ejecución de pruebas.</w:t>
      </w:r>
    </w:p>
    <w:p>
      <w:pPr>
        <w:pStyle w:val="Heading1"/>
        <w:pBdr>
          <w:bottom w:val="single" w:sz="10" w:space="5" w:color="C8A24A"/>
        </w:pBdr>
      </w:pPr>
      <w:r>
        <w:t>Diapositiva 9. Suite CU-06: 13/13</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Mostrar una evidencia técnica concreta y sus límites.</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Captura real de npm test asociada al PR #40.</w:t>
            </w:r>
          </w:p>
        </w:tc>
      </w:tr>
    </w:tbl>
    <w:p>
      <w:pPr>
        <w:pStyle w:val="Heading2"/>
      </w:pPr>
      <w:r>
        <w:t>Guion sugerido</w:t>
      </w:r>
    </w:p>
    <w:p>
      <w:pPr>
        <w:jc w:val="both"/>
      </w:pPr>
      <w:r>
        <w:t>Esta captura muestra trece pruebas aprobadas y cero fallidas. Incluye el caso válido, ausencia de productos, UUID inválidos, cantidades no válidas, límites de observación y estructura de opciones. Su alcance es el endpoint CU-06 en el entorno local registrado. No equivale a cobertura integral del sistema ni a una canalización CI ya activa.</w:t>
      </w:r>
    </w:p>
    <w:p>
      <w:pPr>
        <w:pStyle w:val="IntenseQuote"/>
      </w:pPr>
      <w:r>
        <w:t>Transición: Las pruebas forman parte de un sistema más amplio de mejora del proceso.</w:t>
      </w:r>
    </w:p>
    <w:p>
      <w:pPr>
        <w:pStyle w:val="Heading1"/>
        <w:pBdr>
          <w:bottom w:val="single" w:sz="10" w:space="5" w:color="C8A24A"/>
        </w:pBdr>
      </w:pPr>
      <w:r>
        <w:t>Diapositiva 10. Gobernanza y acciones AM-01 a AM-03</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Explicar mecanismos, responsables y momento de entrada.</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Plan S07, Issues #32–#34 y documentos de verificación.</w:t>
            </w:r>
          </w:p>
        </w:tc>
      </w:tr>
    </w:tbl>
    <w:p>
      <w:pPr>
        <w:pStyle w:val="Heading2"/>
      </w:pPr>
      <w:r>
        <w:t>Guion sugerido</w:t>
      </w:r>
    </w:p>
    <w:p>
      <w:pPr>
        <w:jc w:val="both"/>
      </w:pPr>
      <w:r>
        <w:t>AM-01 estandariza la evidencia DoD y conserva una primera muestra de 1/1; AM-02 busca que al menos 90 por ciento de los PR reciban primera revisión dentro de 48 horas y entra en S10–S11; AM-03 verificó que la única decisión de especificación pendiente estuviera registrada y asignada, 1/1. AM-03 no resuelve la vigencia QR: solo asegura que la decisión no quede invisible.</w:t>
      </w:r>
    </w:p>
    <w:p>
      <w:pPr>
        <w:pStyle w:val="IntenseQuote"/>
      </w:pPr>
      <w:r>
        <w:t>Transición: Con estos controles preparamos la lectura del perfil básico ISO/IEC 29110.</w:t>
      </w:r>
    </w:p>
    <w:p>
      <w:pPr>
        <w:pStyle w:val="Heading1"/>
        <w:pBdr>
          <w:bottom w:val="single" w:sz="10" w:space="5" w:color="C8A24A"/>
        </w:pBdr>
      </w:pPr>
      <w:r>
        <w:t>Diapositiva 11. Preparación ISO/IEC 29110</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Presentar la matriz como inventario, no como certificación.</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Cinco condiciones de entrada, PM.O1–PM.O7 y SI.O1–SI.O7.</w:t>
            </w:r>
          </w:p>
        </w:tc>
      </w:tr>
    </w:tbl>
    <w:p>
      <w:pPr>
        <w:pStyle w:val="Heading2"/>
      </w:pPr>
      <w:r>
        <w:t>Guion sugerido</w:t>
      </w:r>
    </w:p>
    <w:p>
      <w:pPr>
        <w:jc w:val="both"/>
      </w:pPr>
      <w:r>
        <w:t>La matriz vincula evidencias con cinco condiciones de entrada y catorce resultados del perfil básico. Es una preparación interna: no asigna conformidad, madurez ni capacidad. Encontramos evidencia útil en ciclo de vida, repositorio, contrato, métricas y pruebas, pero también límites claros: no existe estudio de factibilidad previo localizado, no hay aceptación auténtica de cliente y el producto completo no está integrado.</w:t>
      </w:r>
    </w:p>
    <w:p>
      <w:pPr>
        <w:pStyle w:val="IntenseQuote"/>
      </w:pPr>
      <w:r>
        <w:t>Transición: La auditoría externa se reserva precisamente para que esa valoración sea independiente.</w:t>
      </w:r>
    </w:p>
    <w:p>
      <w:pPr>
        <w:pStyle w:val="Heading1"/>
        <w:pBdr>
          <w:bottom w:val="single" w:sz="10" w:space="5" w:color="C8A24A"/>
        </w:pBdr>
      </w:pPr>
      <w:r>
        <w:t>Diapositiva 12. Auditoría cruzada: espacio reservado</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Explicar por qué no se completa con autoevaluación.</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Sección 6 del expediente reservada, sin contenido atribuido.</w:t>
            </w:r>
          </w:p>
        </w:tc>
      </w:tr>
    </w:tbl>
    <w:p>
      <w:pPr>
        <w:pStyle w:val="Heading2"/>
      </w:pPr>
      <w:r>
        <w:t>Guion sugerido</w:t>
      </w:r>
    </w:p>
    <w:p>
      <w:pPr>
        <w:jc w:val="both"/>
      </w:pPr>
      <w:r>
        <w:t>La sección 6 permanece intencionalmente en blanco. Una auditoría debe ser sistemática, independiente y documentada; el equipo no puede reemplazar al auditor ni fabricar firmas, estados o desacuerdos. Cuando exista el registro auténtico del equipo auditor, se incorporará sin reescribir su valoración. Este vacío controlado es más defendible que una evidencia simulada.</w:t>
      </w:r>
    </w:p>
    <w:p>
      <w:pPr>
        <w:pStyle w:val="IntenseQuote"/>
      </w:pPr>
      <w:r>
        <w:t>Transición: El resto del expediente conserva la trazabilidad para que esa revisión pueda ejecutarse.</w:t>
      </w:r>
    </w:p>
    <w:p>
      <w:pPr>
        <w:pStyle w:val="Heading1"/>
        <w:pBdr>
          <w:bottom w:val="single" w:sz="10" w:space="5" w:color="C8A24A"/>
        </w:pBdr>
      </w:pPr>
      <w:r>
        <w:t>Diapositiva 13. Trazabilidad y contribución</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Mostrar cómo se navega de la afirmación al registro.</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PR, commits, Issues, tablero y documentos S02–S08.</w:t>
            </w:r>
          </w:p>
        </w:tc>
      </w:tr>
    </w:tbl>
    <w:p>
      <w:pPr>
        <w:pStyle w:val="Heading2"/>
      </w:pPr>
      <w:r>
        <w:t>Guion sugerido</w:t>
      </w:r>
    </w:p>
    <w:p>
      <w:pPr>
        <w:jc w:val="both"/>
      </w:pPr>
      <w:r>
        <w:t>Cada semana se conecta con su pieza, ubicación y registro de publicación. La tabla de contribución distingue autoría de PR, asignación de Issue y responsabilidad de seguimiento. No atribuimos reuniones o revisiones personales sin soporte. Así, un evaluador puede abrir el enlace y comprobar qué existe, cuándo se integró y qué límite conserva.</w:t>
      </w:r>
    </w:p>
    <w:p>
      <w:pPr>
        <w:pStyle w:val="IntenseQuote"/>
      </w:pPr>
      <w:r>
        <w:t>Transición: Cerramos con los resultados defendibles y el trabajo que continúa.</w:t>
      </w:r>
    </w:p>
    <w:p>
      <w:pPr>
        <w:pStyle w:val="Heading1"/>
        <w:pBdr>
          <w:bottom w:val="single" w:sz="10" w:space="5" w:color="C8A24A"/>
        </w:pBdr>
      </w:pPr>
      <w:r>
        <w:t>Diapositiva 14. Conclusiones y continuidad</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Propósito</w:t>
            </w:r>
          </w:p>
        </w:tc>
        <w:tc>
          <w:tcPr>
            <w:tcW w:type="dxa" w:w="4674"/>
            <w:tcMar>
              <w:top w:w="80" w:type="dxa"/>
              <w:start w:w="90" w:type="dxa"/>
              <w:bottom w:w="80" w:type="dxa"/>
              <w:end w:w="90" w:type="dxa"/>
            </w:tcMar>
            <w:vAlign w:val="center"/>
            <w:shd w:fill="17324D"/>
          </w:tcPr>
          <w:p>
            <w:pPr>
              <w:spacing w:after="50" w:line="240" w:lineRule="auto"/>
            </w:pPr>
            <w:r>
              <w:rPr>
                <w:rFonts w:ascii="Arial" w:hAnsi="Arial" w:eastAsia="Arial"/>
                <w:b/>
                <w:color w:val="FFFFFF"/>
                <w:sz w:val="16"/>
              </w:rPr>
              <w:t>Cerrar con logros, límites y siguiente evidencia.</w:t>
            </w:r>
          </w:p>
        </w:tc>
      </w:tr>
      <w:tr>
        <w:trPr>
          <w:cantSplit/>
        </w:trPr>
        <w:tc>
          <w:tcPr>
            <w:tcW w:type="dxa" w:w="4674"/>
            <w:shd w:fill="17324D"/>
            <w:tcMar>
              <w:top w:w="80" w:type="dxa"/>
              <w:start w:w="90" w:type="dxa"/>
              <w:bottom w:w="80" w:type="dxa"/>
              <w:end w:w="90" w:type="dxa"/>
            </w:tcMar>
            <w:vAlign w:val="center"/>
          </w:tcPr>
          <w:p>
            <w:pPr>
              <w:spacing w:after="50" w:line="240" w:lineRule="auto"/>
            </w:pPr>
            <w:r>
              <w:rPr>
                <w:rFonts w:ascii="Arial" w:hAnsi="Arial" w:eastAsia="Arial"/>
                <w:b/>
                <w:color w:val="FFFFFF"/>
                <w:sz w:val="16"/>
              </w:rPr>
              <w:t>Evidencia visible</w:t>
            </w:r>
          </w:p>
        </w:tc>
        <w:tc>
          <w:tcPr>
            <w:tcW w:type="dxa" w:w="4674"/>
            <w:tcMar>
              <w:top w:w="80" w:type="dxa"/>
              <w:start w:w="90" w:type="dxa"/>
              <w:bottom w:w="80" w:type="dxa"/>
              <w:end w:w="90" w:type="dxa"/>
            </w:tcMar>
            <w:vAlign w:val="center"/>
          </w:tcPr>
          <w:p>
            <w:pPr>
              <w:spacing w:after="50" w:line="240" w:lineRule="auto"/>
            </w:pPr>
            <w:r>
              <w:rPr>
                <w:rFonts w:ascii="Arial" w:hAnsi="Arial" w:eastAsia="Arial"/>
                <w:sz w:val="16"/>
              </w:rPr>
              <w:t>Expediente final, PR #40–#42 e Issues #6, #28–#33.</w:t>
            </w:r>
          </w:p>
        </w:tc>
      </w:tr>
    </w:tbl>
    <w:p>
      <w:pPr>
        <w:pStyle w:val="Heading2"/>
      </w:pPr>
      <w:r>
        <w:t>Guion sugerido</w:t>
      </w:r>
    </w:p>
    <w:p>
      <w:pPr>
        <w:jc w:val="both"/>
      </w:pPr>
      <w:r>
        <w:t>La Unidad I deja cuatro resultados defendibles: una estrategia iterativo-incremental documentada; acuerdos DoR y DoD conectados con plantillas; medición reproducible de dos ventanas; y una rebanada CU-06 con trece pruebas locales aprobadas. Los límites también están trazados: auditoría cruzada, evidencia de cliente, cierre documental de deuda, AM-02, CI y métricas productivas. La continuidad no parte de cero: parte de un expediente navegable y verificable.</w:t>
      </w:r>
    </w:p>
    <w:p>
      <w:pPr>
        <w:pStyle w:val="IntenseQuote"/>
      </w:pPr>
      <w:r>
        <w:t>Transición: Quedamos atentos a sus preguntas y podemos abrir cualquiera de las evidencias citadas.</w:t>
      </w:r>
    </w:p>
    <w:p>
      <w:r>
        <w:br w:type="page"/>
      </w:r>
    </w:p>
    <w:p>
      <w:pPr>
        <w:pStyle w:val="Heading1"/>
      </w:pPr>
      <w:r>
        <w:t>Preguntas probables del docente y respuestas de defensa</w:t>
      </w:r>
    </w:p>
    <w:tbl>
      <w:tblPr>
        <w:tblStyle w:val="TableGrid"/>
        <w:tblW w:type="auto" w:w="0"/>
        <w:tblLayout w:type="autofit"/>
        <w:tblLook w:firstColumn="1" w:firstRow="1" w:lastColumn="0" w:lastRow="0" w:noHBand="0" w:noVBand="1" w:val="04A0"/>
      </w:tblPr>
      <w:tblGrid>
        <w:gridCol w:w="4674"/>
        <w:gridCol w:w="4674"/>
      </w:tblGrid>
      <w:tr>
        <w:trPr>
          <w:cantSplit/>
          <w:tblHeader w:val="true"/>
        </w:trPr>
        <w:tc>
          <w:tcPr>
            <w:tcW w:type="dxa" w:w="4674"/>
            <w:shd w:fill="17324D"/>
            <w:vAlign w:val="center"/>
            <w:tcMar>
              <w:top w:w="80" w:type="dxa"/>
              <w:start w:w="90" w:type="dxa"/>
              <w:bottom w:w="80" w:type="dxa"/>
              <w:end w:w="90" w:type="dxa"/>
            </w:tcMar>
          </w:tcPr>
          <w:p>
            <w:pPr>
              <w:spacing w:after="50" w:line="240" w:lineRule="auto"/>
            </w:pPr>
            <w:r>
              <w:rPr>
                <w:rFonts w:ascii="Arial" w:hAnsi="Arial" w:eastAsia="Arial"/>
                <w:b/>
                <w:color w:val="FFFFFF"/>
                <w:sz w:val="16"/>
              </w:rPr>
              <w:t>Pregunta</w:t>
            </w:r>
          </w:p>
        </w:tc>
        <w:tc>
          <w:tcPr>
            <w:tcW w:type="dxa" w:w="4674"/>
            <w:shd w:fill="17324D"/>
            <w:vAlign w:val="center"/>
            <w:tcMar>
              <w:top w:w="80" w:type="dxa"/>
              <w:start w:w="90" w:type="dxa"/>
              <w:bottom w:w="80" w:type="dxa"/>
              <w:end w:w="90" w:type="dxa"/>
            </w:tcMar>
          </w:tcPr>
          <w:p>
            <w:pPr>
              <w:spacing w:after="50" w:line="240" w:lineRule="auto"/>
            </w:pPr>
            <w:r>
              <w:rPr>
                <w:rFonts w:ascii="Arial" w:hAnsi="Arial" w:eastAsia="Arial"/>
                <w:b/>
                <w:color w:val="FFFFFF"/>
                <w:sz w:val="16"/>
              </w:rPr>
              <w:t>Respuesta defendible</w:t>
            </w:r>
          </w:p>
        </w:tc>
      </w:tr>
      <w:tr>
        <w:trPr>
          <w:cantSplit/>
        </w:trPr>
        <w:tc>
          <w:tcPr>
            <w:tcW w:type="dxa" w:w="4674"/>
            <w:vAlign w:val="center"/>
            <w:tcMar>
              <w:top w:w="80" w:type="dxa"/>
              <w:start w:w="90" w:type="dxa"/>
              <w:bottom w:w="80" w:type="dxa"/>
              <w:end w:w="90" w:type="dxa"/>
            </w:tcMar>
          </w:tcPr>
          <w:p>
            <w:pPr>
              <w:spacing w:after="50" w:line="240" w:lineRule="auto"/>
            </w:pPr>
            <w:r>
              <w:rPr>
                <w:rFonts w:ascii="Arial" w:hAnsi="Arial" w:eastAsia="Arial"/>
                <w:sz w:val="16"/>
              </w:rPr>
              <w:t>¿Por qué llaman burndown a una tabla con dos cortes?</w:t>
            </w:r>
          </w:p>
        </w:tc>
        <w:tc>
          <w:tcPr>
            <w:tcW w:type="dxa" w:w="4674"/>
            <w:vAlign w:val="center"/>
            <w:tcMar>
              <w:top w:w="80" w:type="dxa"/>
              <w:start w:w="90" w:type="dxa"/>
              <w:bottom w:w="80" w:type="dxa"/>
              <w:end w:w="90" w:type="dxa"/>
            </w:tcMar>
          </w:tcPr>
          <w:p>
            <w:pPr>
              <w:spacing w:after="50" w:line="240" w:lineRule="auto"/>
            </w:pPr>
            <w:r>
              <w:rPr>
                <w:rFonts w:ascii="Arial" w:hAnsi="Arial" w:eastAsia="Arial"/>
                <w:sz w:val="16"/>
              </w:rPr>
              <w:t>No lo presentamos como serie diaria observada. Lo denominamos reconstrucción documental y explicamos que faltan eventos históricos para una curva real. La evidencia permite comparar dos cortes del mismo subconjunto, no interpolar el trabajo.</w:t>
            </w:r>
          </w:p>
        </w:tc>
      </w:tr>
      <w:tr>
        <w:trPr>
          <w:cantSplit/>
        </w:trPr>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¿Por qué la velocidad es 0 si sí hubo entregables?</w:t>
            </w:r>
          </w:p>
        </w:tc>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La velocidad acreditada aplica el DoD definido. Hubo publicaciones, pero el subconjunto de 11 SP no conservaba toda la evidencia necesaria para acreditar terminación en esos cortes. Publicación y DoD no son equivalentes.</w:t>
            </w:r>
          </w:p>
        </w:tc>
      </w:tr>
      <w:tr>
        <w:trPr>
          <w:cantSplit/>
        </w:trPr>
        <w:tc>
          <w:tcPr>
            <w:tcW w:type="dxa" w:w="4674"/>
            <w:vAlign w:val="center"/>
            <w:tcMar>
              <w:top w:w="80" w:type="dxa"/>
              <w:start w:w="90" w:type="dxa"/>
              <w:bottom w:w="80" w:type="dxa"/>
              <w:end w:w="90" w:type="dxa"/>
            </w:tcMar>
          </w:tcPr>
          <w:p>
            <w:pPr>
              <w:spacing w:after="50" w:line="240" w:lineRule="auto"/>
            </w:pPr>
            <w:r>
              <w:rPr>
                <w:rFonts w:ascii="Arial" w:hAnsi="Arial" w:eastAsia="Arial"/>
                <w:sz w:val="16"/>
              </w:rPr>
              <w:t>¿El 1/1 de AM-01 demuestra que el proceso ya mejoró?</w:t>
            </w:r>
          </w:p>
        </w:tc>
        <w:tc>
          <w:tcPr>
            <w:tcW w:type="dxa" w:w="4674"/>
            <w:vAlign w:val="center"/>
            <w:tcMar>
              <w:top w:w="80" w:type="dxa"/>
              <w:start w:w="90" w:type="dxa"/>
              <w:bottom w:w="80" w:type="dxa"/>
              <w:end w:w="90" w:type="dxa"/>
            </w:tcMar>
          </w:tcPr>
          <w:p>
            <w:pPr>
              <w:spacing w:after="50" w:line="240" w:lineRule="auto"/>
            </w:pPr>
            <w:r>
              <w:rPr>
                <w:rFonts w:ascii="Arial" w:hAnsi="Arial" w:eastAsia="Arial"/>
                <w:sz w:val="16"/>
              </w:rPr>
              <w:t>No. Demuestra la aplicación del control en una muestra delimitada. Por eso el Issue #32 sigue abierto y el expediente evita generalizar el indicador.</w:t>
            </w:r>
          </w:p>
        </w:tc>
      </w:tr>
      <w:tr>
        <w:trPr>
          <w:cantSplit/>
        </w:trPr>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¿Por qué los Issues #28 y #30 continúan abiertos si el código ya fue integrado?</w:t>
            </w:r>
          </w:p>
        </w:tc>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Porque PR #40 demuestra implementación y pruebas, pero el cierre conforme al DoD requiere reconciliar criterios, evidencia de revisión y registro de cierre. Separar implementación de cierre hace el estado más confiable.</w:t>
            </w:r>
          </w:p>
        </w:tc>
      </w:tr>
      <w:tr>
        <w:trPr>
          <w:cantSplit/>
        </w:trPr>
        <w:tc>
          <w:tcPr>
            <w:tcW w:type="dxa" w:w="4674"/>
            <w:vAlign w:val="center"/>
            <w:tcMar>
              <w:top w:w="80" w:type="dxa"/>
              <w:start w:w="90" w:type="dxa"/>
              <w:bottom w:w="80" w:type="dxa"/>
              <w:end w:w="90" w:type="dxa"/>
            </w:tcMar>
          </w:tcPr>
          <w:p>
            <w:pPr>
              <w:spacing w:after="50" w:line="240" w:lineRule="auto"/>
            </w:pPr>
            <w:r>
              <w:rPr>
                <w:rFonts w:ascii="Arial" w:hAnsi="Arial" w:eastAsia="Arial"/>
                <w:sz w:val="16"/>
              </w:rPr>
              <w:t>¿Tienen cinco métricas DORA?</w:t>
            </w:r>
          </w:p>
        </w:tc>
        <w:tc>
          <w:tcPr>
            <w:tcW w:type="dxa" w:w="4674"/>
            <w:vAlign w:val="center"/>
            <w:tcMar>
              <w:top w:w="80" w:type="dxa"/>
              <w:start w:w="90" w:type="dxa"/>
              <w:bottom w:w="80" w:type="dxa"/>
              <w:end w:w="90" w:type="dxa"/>
            </w:tcMar>
          </w:tcPr>
          <w:p>
            <w:pPr>
              <w:spacing w:after="50" w:line="240" w:lineRule="auto"/>
            </w:pPr>
            <w:r>
              <w:rPr>
                <w:rFonts w:ascii="Arial" w:hAnsi="Arial" w:eastAsia="Arial"/>
                <w:sz w:val="16"/>
              </w:rPr>
              <w:t>No. Se midieron tiempo de entrega del cambio y frecuencia de integración. Frecuencia de despliegue, tasa de fallos y tiempo de restauración carecen de datos productivos; no se sustituyen con ceros ni con integraciones.</w:t>
            </w:r>
          </w:p>
        </w:tc>
      </w:tr>
      <w:tr>
        <w:trPr>
          <w:cantSplit/>
        </w:trPr>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¿Pueden afirmar conformidad con ISO/IEC 29110?</w:t>
            </w:r>
          </w:p>
        </w:tc>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No. El expediente usa el perfil como marco para localizar evidencia y preparar una auditoría cruzada. No declara conformidad, capacidad, madurez ni certificación.</w:t>
            </w:r>
          </w:p>
        </w:tc>
      </w:tr>
      <w:tr>
        <w:trPr>
          <w:cantSplit/>
        </w:trPr>
        <w:tc>
          <w:tcPr>
            <w:tcW w:type="dxa" w:w="4674"/>
            <w:vAlign w:val="center"/>
            <w:tcMar>
              <w:top w:w="80" w:type="dxa"/>
              <w:start w:w="90" w:type="dxa"/>
              <w:bottom w:w="80" w:type="dxa"/>
              <w:end w:w="90" w:type="dxa"/>
            </w:tcMar>
          </w:tcPr>
          <w:p>
            <w:pPr>
              <w:spacing w:after="50" w:line="240" w:lineRule="auto"/>
            </w:pPr>
            <w:r>
              <w:rPr>
                <w:rFonts w:ascii="Arial" w:hAnsi="Arial" w:eastAsia="Arial"/>
                <w:sz w:val="16"/>
              </w:rPr>
              <w:t>¿Qué evidencia demuestra participación del cliente?</w:t>
            </w:r>
          </w:p>
        </w:tc>
        <w:tc>
          <w:tcPr>
            <w:tcW w:type="dxa" w:w="4674"/>
            <w:vAlign w:val="center"/>
            <w:tcMar>
              <w:top w:w="80" w:type="dxa"/>
              <w:start w:w="90" w:type="dxa"/>
              <w:bottom w:w="80" w:type="dxa"/>
              <w:end w:w="90" w:type="dxa"/>
            </w:tcMar>
          </w:tcPr>
          <w:p>
            <w:pPr>
              <w:spacing w:after="50" w:line="240" w:lineRule="auto"/>
            </w:pPr>
            <w:r>
              <w:rPr>
                <w:rFonts w:ascii="Arial" w:hAnsi="Arial" w:eastAsia="Arial"/>
                <w:sz w:val="16"/>
              </w:rPr>
              <w:t>No se localizó evidencia auténtica de aprobación, aceptación o solicitudes de cambio de un cliente. Los roles descritos en la especificación no sustituyen esa evidencia.</w:t>
            </w:r>
          </w:p>
        </w:tc>
      </w:tr>
      <w:tr>
        <w:trPr>
          <w:cantSplit/>
        </w:trPr>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¿Por qué la sección de auditoría está vacía?</w:t>
            </w:r>
          </w:p>
        </w:tc>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Porque el registro independiente todavía no existe en las fuentes disponibles. Completarlo internamente vulneraría la independencia y podría inventar firmas o estados. El espacio está reservado para el documento auténtico.</w:t>
            </w:r>
          </w:p>
        </w:tc>
      </w:tr>
      <w:tr>
        <w:trPr>
          <w:cantSplit/>
        </w:trPr>
        <w:tc>
          <w:tcPr>
            <w:tcW w:type="dxa" w:w="4674"/>
            <w:vAlign w:val="center"/>
            <w:tcMar>
              <w:top w:w="80" w:type="dxa"/>
              <w:start w:w="90" w:type="dxa"/>
              <w:bottom w:w="80" w:type="dxa"/>
              <w:end w:w="90" w:type="dxa"/>
            </w:tcMar>
          </w:tcPr>
          <w:p>
            <w:pPr>
              <w:spacing w:after="50" w:line="240" w:lineRule="auto"/>
            </w:pPr>
            <w:r>
              <w:rPr>
                <w:rFonts w:ascii="Arial" w:hAnsi="Arial" w:eastAsia="Arial"/>
                <w:sz w:val="16"/>
              </w:rPr>
              <w:t>¿Cuál es el resultado técnico principal de la Unidad I?</w:t>
            </w:r>
          </w:p>
        </w:tc>
        <w:tc>
          <w:tcPr>
            <w:tcW w:type="dxa" w:w="4674"/>
            <w:vAlign w:val="center"/>
            <w:tcMar>
              <w:top w:w="80" w:type="dxa"/>
              <w:start w:w="90" w:type="dxa"/>
              <w:bottom w:w="80" w:type="dxa"/>
              <w:end w:w="90" w:type="dxa"/>
            </w:tcMar>
          </w:tcPr>
          <w:p>
            <w:pPr>
              <w:spacing w:after="50" w:line="240" w:lineRule="auto"/>
            </w:pPr>
            <w:r>
              <w:rPr>
                <w:rFonts w:ascii="Arial" w:hAnsi="Arial" w:eastAsia="Arial"/>
                <w:sz w:val="16"/>
              </w:rPr>
              <w:t>CU-06 como rebanada vertical: contrato OpenAPI, flujo HTTP completo y trece pruebas locales aprobadas tras PR #40. El alcance se limita a ese endpoint y no se extrapola a todo HELA.</w:t>
            </w:r>
          </w:p>
        </w:tc>
      </w:tr>
      <w:tr>
        <w:trPr>
          <w:cantSplit/>
        </w:trPr>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¿Cuál es el riesgo principal para la siguiente unidad?</w:t>
            </w:r>
          </w:p>
        </w:tc>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Que la evidencia quede desalineada con el estado real: Issues abiertos, revisiones no registradas, ausencia de línea base diaria y decisiones funcionales pendientes. Las acciones AM y la trazabilidad buscan reducir ese riesgo.</w:t>
            </w:r>
          </w:p>
        </w:tc>
      </w:tr>
      <w:tr>
        <w:trPr>
          <w:cantSplit/>
        </w:trPr>
        <w:tc>
          <w:tcPr>
            <w:tcW w:type="dxa" w:w="4674"/>
            <w:vAlign w:val="center"/>
            <w:tcMar>
              <w:top w:w="80" w:type="dxa"/>
              <w:start w:w="90" w:type="dxa"/>
              <w:bottom w:w="80" w:type="dxa"/>
              <w:end w:w="90" w:type="dxa"/>
            </w:tcMar>
          </w:tcPr>
          <w:p>
            <w:pPr>
              <w:spacing w:after="50" w:line="240" w:lineRule="auto"/>
            </w:pPr>
            <w:r>
              <w:rPr>
                <w:rFonts w:ascii="Arial" w:hAnsi="Arial" w:eastAsia="Arial"/>
                <w:sz w:val="16"/>
              </w:rPr>
              <w:t>¿Qué representa el promedio de 32 horas?</w:t>
            </w:r>
          </w:p>
        </w:tc>
        <w:tc>
          <w:tcPr>
            <w:tcW w:type="dxa" w:w="4674"/>
            <w:vAlign w:val="center"/>
            <w:tcMar>
              <w:top w:w="80" w:type="dxa"/>
              <w:start w:w="90" w:type="dxa"/>
              <w:bottom w:w="80" w:type="dxa"/>
              <w:end w:w="90" w:type="dxa"/>
            </w:tcMar>
          </w:tcPr>
          <w:p>
            <w:pPr>
              <w:spacing w:after="50" w:line="240" w:lineRule="auto"/>
            </w:pPr>
            <w:r>
              <w:rPr>
                <w:rFonts w:ascii="Arial" w:hAnsi="Arial" w:eastAsia="Arial"/>
                <w:sz w:val="16"/>
              </w:rPr>
              <w:t>Es la media del tiempo desde el primer commit hasta merged_at para cinco PR. Un PR de 158,3 horas domina el promedio; por eso también reportamos la mediana de 0,5 horas.</w:t>
            </w:r>
          </w:p>
        </w:tc>
      </w:tr>
      <w:tr>
        <w:trPr>
          <w:cantSplit/>
        </w:trPr>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¿La suite es una fitness function operativa?</w:t>
            </w:r>
          </w:p>
        </w:tc>
        <w:tc>
          <w:tcPr>
            <w:tcW w:type="dxa" w:w="4674"/>
            <w:vAlign w:val="center"/>
            <w:tcMar>
              <w:top w:w="80" w:type="dxa"/>
              <w:start w:w="90" w:type="dxa"/>
              <w:bottom w:w="80" w:type="dxa"/>
              <w:end w:w="90" w:type="dxa"/>
            </w:tcMar>
            <w:shd w:fill="EEF3F7"/>
          </w:tcPr>
          <w:p>
            <w:pPr>
              <w:spacing w:after="50" w:line="240" w:lineRule="auto"/>
            </w:pPr>
            <w:r>
              <w:rPr>
                <w:rFonts w:ascii="Arial" w:hAnsi="Arial" w:eastAsia="Arial"/>
                <w:sz w:val="16"/>
              </w:rPr>
              <w:t>No todavía. Los casos negativos implementan una comprobación local coherente con FA-01, pero la automatización en integración continua está prevista para S15.</w:t>
            </w:r>
          </w:p>
        </w:tc>
      </w:tr>
    </w:tbl>
    <w:p>
      <w:pPr>
        <w:pStyle w:val="Heading1"/>
      </w:pPr>
      <w:r>
        <w:t>Checklist previo a la defensa</w:t>
      </w:r>
    </w:p>
    <w:p>
      <w:pPr>
        <w:pStyle w:val="ListBullet"/>
      </w:pPr>
      <w:r>
        <w:t>Asignar expositor por bloque y ensayar una transición de diez segundos entre integrantes.</w:t>
      </w:r>
    </w:p>
    <w:p>
      <w:pPr>
        <w:pStyle w:val="ListBullet"/>
      </w:pPr>
      <w:r>
        <w:t>Abrir previamente los PR #40, #41 y #42, el panel de métricas y el archivo de pruebas.</w:t>
      </w:r>
    </w:p>
    <w:p>
      <w:pPr>
        <w:pStyle w:val="ListBullet"/>
      </w:pPr>
      <w:r>
        <w:t>Comprobar que los hipervínculos del expediente funcionan en el equipo de exposición.</w:t>
      </w:r>
    </w:p>
    <w:p>
      <w:pPr>
        <w:pStyle w:val="ListBullet"/>
      </w:pPr>
      <w:r>
        <w:t>No presentar 1/1 como eficacia global ni 13 pruebas como cobertura total.</w:t>
      </w:r>
    </w:p>
    <w:p>
      <w:pPr>
        <w:pStyle w:val="ListBullet"/>
      </w:pPr>
      <w:r>
        <w:t>Ante una pregunta sin evidencia, responder el límite y señalar la acción o Issue que lo conserva.</w:t>
      </w:r>
    </w:p>
    <w:p>
      <w:pPr>
        <w:pStyle w:val="ListBullet"/>
      </w:pPr>
      <w:r>
        <w:t>No completar la sección 6 hasta recibir un registro auténtico del equipo auditor.</w:t>
      </w:r>
    </w:p>
    <w:sectPr w:rsidR="00FC693F" w:rsidRPr="0006063C" w:rsidSect="00034616">
      <w:pgSz w:w="12240" w:h="15840"/>
      <w:pgMar w:top="1361" w:right="1361" w:bottom="1361" w:left="153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B1E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B1E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HELA — Guion detallado de sustentación de la Unidad 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