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jpg" ContentType="image/jpeg"/>
  <Override PartName="/word/media/rId31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5.jpg" ContentType="image/jpeg"/>
  <Override PartName="/word/media/rId48.jpg" ContentType="image/jpeg"/>
  <Override PartName="/word/media/rId5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3"/>
      </w:pPr>
      <w:r>
        <w:t xml:space="preserve">РОССИЙСКИЙ УНИВЕРСИТЕТ ДРУЖБЫ НАРОДОВ</w:t>
      </w:r>
    </w:p>
    <w:bookmarkEnd w:id="20"/>
    <w:bookmarkStart w:id="21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1"/>
    <w:bookmarkStart w:id="22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End w:id="22"/>
    <w:bookmarkStart w:id="23" w:name="дисциплина-научное-программирование"/>
    <w:p>
      <w:pPr>
        <w:pStyle w:val="Heading3"/>
      </w:pPr>
      <w:r>
        <w:rPr>
          <w:i/>
        </w:rPr>
        <w:t xml:space="preserve">дисциплина</w:t>
      </w:r>
      <w:r>
        <w:t xml:space="preserve">: Научное программирование</w:t>
      </w:r>
    </w:p>
    <w:bookmarkEnd w:id="23"/>
    <w:bookmarkStart w:id="62" w:name="лабораторная-работа-6"/>
    <w:p>
      <w:pPr>
        <w:pStyle w:val="Heading1"/>
      </w:pPr>
      <w:r>
        <w:t xml:space="preserve">Лабораторная работа №6</w:t>
      </w:r>
    </w:p>
    <w:bookmarkStart w:id="24" w:name="выполнил-маслов-александр"/>
    <w:p>
      <w:pPr>
        <w:pStyle w:val="Heading3"/>
      </w:pPr>
      <w:r>
        <w:t xml:space="preserve">Выполнил: Маслов Александр</w:t>
      </w:r>
    </w:p>
    <w:bookmarkEnd w:id="24"/>
    <w:bookmarkStart w:id="25" w:name="группа-нфимд-02-20"/>
    <w:p>
      <w:pPr>
        <w:pStyle w:val="Heading3"/>
      </w:pPr>
      <w:r>
        <w:t xml:space="preserve">Группа: НФИмд-02-20</w:t>
      </w:r>
    </w:p>
    <w:bookmarkEnd w:id="25"/>
    <w:bookmarkStart w:id="28" w:name="сб-1032202156"/>
    <w:p>
      <w:pPr>
        <w:pStyle w:val="Heading3"/>
      </w:pPr>
      <w:r>
        <w:t xml:space="preserve">С/б: 1032202156</w:t>
      </w:r>
    </w:p>
    <w:bookmarkStart w:id="26" w:name="москва"/>
    <w:p>
      <w:pPr>
        <w:pStyle w:val="Heading4"/>
      </w:pPr>
      <w:r>
        <w:t xml:space="preserve">Москва</w:t>
      </w:r>
    </w:p>
    <w:bookmarkEnd w:id="26"/>
    <w:bookmarkStart w:id="27" w:name="section"/>
    <w:p>
      <w:pPr>
        <w:pStyle w:val="Heading4"/>
      </w:pPr>
      <w:r>
        <w:t xml:space="preserve">2020</w:t>
      </w:r>
    </w:p>
    <w:bookmarkEnd w:id="27"/>
    <w:bookmarkEnd w:id="28"/>
    <w:bookmarkStart w:id="29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Рассмотреть с помощью Octave пределы, последовательности и ряды, а также два метода оценки функции: с помощью циклов и с помощью вектора входных значений и сравнить их.</w:t>
      </w:r>
    </w:p>
    <w:bookmarkEnd w:id="29"/>
    <w:bookmarkStart w:id="30" w:name="ход-работы"/>
    <w:p>
      <w:pPr>
        <w:pStyle w:val="Heading3"/>
      </w:pPr>
      <w:r>
        <w:t xml:space="preserve">Ход работы:</w:t>
      </w:r>
    </w:p>
    <w:bookmarkEnd w:id="30"/>
    <w:bookmarkStart w:id="47" w:name="пределы-последовательности-и-ряды"/>
    <w:p>
      <w:pPr>
        <w:pStyle w:val="Heading3"/>
      </w:pPr>
      <w:r>
        <w:t xml:space="preserve">Пределы, последовательности и ряды</w:t>
      </w:r>
    </w:p>
    <w:p>
      <w:pPr>
        <w:pStyle w:val="FirstParagraph"/>
      </w:pPr>
      <w:r>
        <w:t xml:space="preserve">Рассмотрим предел: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r>
            <m:t>(</m:t>
          </m:r>
          <m:r>
            <m:t>1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)</m:t>
              </m:r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Оценим это выражение. Нужно определить функцию. Есть несколько способов сделать это. Метод, который мы здесь используем, называется анонимной функцией. Это хороший способ быстро определить простую функцию.</w:t>
      </w:r>
    </w:p>
    <w:p>
      <w:pPr>
        <w:pStyle w:val="BodyText"/>
      </w:pPr>
      <w:r>
        <w:drawing>
          <wp:inline>
            <wp:extent cx="4991100" cy="838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2">
        <w:r>
          <w:rPr>
            <w:rStyle w:val="Hyperlink"/>
          </w:rPr>
          <w:t xml:space="preserve">Рисунок 1. Определяем функцию f</w:t>
        </w:r>
      </w:hyperlink>
    </w:p>
    <w:p>
      <w:pPr>
        <w:pStyle w:val="BodyText"/>
      </w:pPr>
      <w:r>
        <w:t xml:space="preserve">Обратите внимание на использование поэлементных операций.</w:t>
      </w:r>
      <w:r>
        <w:t xml:space="preserve"> </w:t>
      </w:r>
      <w:r>
        <w:t xml:space="preserve">Мы назвали функцию f . Входная переменная обозначается знаком</w:t>
      </w:r>
      <w:r>
        <w:t xml:space="preserve"> </w:t>
      </w:r>
      <m:oMath>
        <m:r>
          <m:t>@</m:t>
        </m:r>
      </m:oMath>
      <w:r>
        <w:t xml:space="preserve">, за которым следует переменная в скобках. Следующее выражение будет использоваться при оценке функции. Теперь f можно использовать как любую функцию в Octave.</w:t>
      </w:r>
      <w:r>
        <w:t xml:space="preserve"> </w:t>
      </w:r>
      <w:r>
        <w:t xml:space="preserve">Далее мы создаём индексную переменную, состоящую из целых</w:t>
      </w:r>
      <w:r>
        <w:t xml:space="preserve"> </w:t>
      </w:r>
      <w:r>
        <w:t xml:space="preserve">чисел от 0 до 9:</w:t>
      </w:r>
    </w:p>
    <w:p>
      <w:pPr>
        <w:pStyle w:val="BodyText"/>
      </w:pPr>
      <w:r>
        <w:drawing>
          <wp:inline>
            <wp:extent cx="5010150" cy="219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4">
        <w:r>
          <w:rPr>
            <w:rStyle w:val="Hyperlink"/>
          </w:rPr>
          <w:t xml:space="preserve">Рисунок 2. Индексная переменная k</w:t>
        </w:r>
      </w:hyperlink>
    </w:p>
    <w:p>
      <w:pPr>
        <w:pStyle w:val="BodyText"/>
      </w:pPr>
      <w:r>
        <w:t xml:space="preserve">Синтаксис [0:1:9] создает вектор строки, который начинается с 0 и увеличивается с шагом от 1 до 9. Использовали операцию транспонирования. Теперь мы возьмём степени 10, которые будут входными значениями, а затем оценим f(n).</w:t>
      </w:r>
    </w:p>
    <w:p>
      <w:pPr>
        <w:pStyle w:val="BodyText"/>
      </w:pPr>
      <w:r>
        <w:drawing>
          <wp:inline>
            <wp:extent cx="4953000" cy="4676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6">
        <w:r>
          <w:rPr>
            <w:rStyle w:val="Hyperlink"/>
          </w:rPr>
          <w:t xml:space="preserve">Рисунок 3. Степени 10</w:t>
        </w:r>
      </w:hyperlink>
    </w:p>
    <w:p>
      <w:pPr>
        <w:pStyle w:val="BodyText"/>
      </w:pPr>
      <w:r>
        <w:t xml:space="preserve">Предел сходится к конечному значению, которое составляет при¬</w:t>
      </w:r>
      <w:r>
        <w:t xml:space="preserve"> </w:t>
      </w:r>
      <w:r>
        <w:t xml:space="preserve">близительно 2,71828</w:t>
      </w:r>
    </w:p>
    <w:p>
      <w:pPr>
        <w:pStyle w:val="BodyText"/>
      </w:pPr>
      <w:r>
        <w:rPr>
          <w:b/>
        </w:rPr>
        <w:t xml:space="preserve">Частичные суммы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a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2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 </w:t>
      </w:r>
      <w:r>
        <w:t xml:space="preserve">- ряд, n-й член равен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(</m:t>
              </m:r>
              <m:r>
                <m:t>n</m:t>
              </m:r>
              <m:r>
                <m:t>+</m:t>
              </m:r>
              <m:r>
                <m:t>2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Для этого мы определим индексный вектор n от 2 до 11, а затем вычислим члены.</w:t>
      </w:r>
    </w:p>
    <w:p>
      <w:pPr>
        <w:pStyle w:val="BodyText"/>
      </w:pPr>
      <w:r>
        <w:drawing>
          <wp:inline>
            <wp:extent cx="5000625" cy="2219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8">
        <w:r>
          <w:rPr>
            <w:rStyle w:val="Hyperlink"/>
          </w:rPr>
          <w:t xml:space="preserve">Рисунок 4. Индексный вектор n и члены a</w:t>
        </w:r>
      </w:hyperlink>
    </w:p>
    <w:p>
      <w:pPr>
        <w:pStyle w:val="BodyText"/>
      </w:pPr>
      <w:r>
        <w:t xml:space="preserve">Если мы хотим знать частичную сумму, нам нужно только написать sum(а).Если мы хотим получить последовательность частичных сумм, нам нужно использовать цикл. Мы будем использовать цикл for с индексом i от 1 до 10. Для каждого i мы получим частичную сумму последовательности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от первого слагаемого до</w:t>
      </w:r>
      <w:r>
        <w:t xml:space="preserve"> </w:t>
      </w:r>
      <m:oMath>
        <m:r>
          <m:t>i</m:t>
        </m:r>
      </m:oMath>
      <w:r>
        <w:t xml:space="preserve">-го слагаемого. На выходе получается 10-элементный вектор этих частичных сумм.</w:t>
      </w:r>
    </w:p>
    <w:p>
      <w:pPr>
        <w:pStyle w:val="BodyText"/>
      </w:pPr>
      <w:r>
        <w:drawing>
          <wp:inline>
            <wp:extent cx="4972050" cy="2638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0">
        <w:r>
          <w:rPr>
            <w:rStyle w:val="Hyperlink"/>
          </w:rPr>
          <w:t xml:space="preserve">Рисунок 5. Вектор частичных сумм</w:t>
        </w:r>
      </w:hyperlink>
    </w:p>
    <w:p>
      <w:pPr>
        <w:pStyle w:val="BodyText"/>
      </w:pPr>
      <w:r>
        <w:t xml:space="preserve">Наконец, мы построим слагаемые и частичные суммы для 2 &lt; n &lt;</w:t>
      </w:r>
      <w:r>
        <w:t xml:space="preserve"> </w:t>
      </w:r>
      <w:r>
        <w:t xml:space="preserve">11.</w:t>
      </w:r>
    </w:p>
    <w:p>
      <w:pPr>
        <w:pStyle w:val="BodyText"/>
      </w:pPr>
      <w:r>
        <w:drawing>
          <wp:inline>
            <wp:extent cx="4953000" cy="628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2">
        <w:r>
          <w:rPr>
            <w:rStyle w:val="Hyperlink"/>
          </w:rPr>
          <w:t xml:space="preserve">Рисунок 6. Построение графика</w:t>
        </w:r>
      </w:hyperlink>
    </w:p>
    <w:p>
      <w:pPr>
        <w:pStyle w:val="BodyText"/>
      </w:pPr>
      <w:r>
        <w:drawing>
          <wp:inline>
            <wp:extent cx="5334000" cy="48902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4">
        <w:r>
          <w:rPr>
            <w:rStyle w:val="Hyperlink"/>
          </w:rPr>
          <w:t xml:space="preserve">Рисунок 7. График</w:t>
        </w:r>
      </w:hyperlink>
    </w:p>
    <w:p>
      <w:pPr>
        <w:pStyle w:val="BodyText"/>
      </w:pPr>
      <w:r>
        <w:rPr>
          <w:b/>
        </w:rPr>
        <w:t xml:space="preserve">Сумма ряда</w:t>
      </w:r>
    </w:p>
    <w:p>
      <w:pPr>
        <w:pStyle w:val="BodyText"/>
      </w:pPr>
      <w:r>
        <w:t xml:space="preserve">Найдём сумму первых 1000 членов гармонического ряда: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Нам нужно только сгенерировать члены как ряда вектор, а затем взять их сумму.</w:t>
      </w:r>
    </w:p>
    <w:p>
      <w:pPr>
        <w:pStyle w:val="BodyText"/>
      </w:pPr>
      <w:r>
        <w:drawing>
          <wp:inline>
            <wp:extent cx="5000625" cy="95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6">
        <w:r>
          <w:rPr>
            <w:rStyle w:val="Hyperlink"/>
          </w:rPr>
          <w:t xml:space="preserve">Рисунок 8. Сумма ряда</w:t>
        </w:r>
      </w:hyperlink>
    </w:p>
    <w:bookmarkEnd w:id="47"/>
    <w:bookmarkStart w:id="60" w:name="численное-интегрирование"/>
    <w:p>
      <w:pPr>
        <w:pStyle w:val="Heading3"/>
      </w:pPr>
      <w:r>
        <w:t xml:space="preserve">Численное интегрирование</w:t>
      </w:r>
    </w:p>
    <w:p>
      <w:pPr>
        <w:pStyle w:val="FirstParagraph"/>
      </w:pPr>
      <w:r>
        <w:rPr>
          <w:b/>
        </w:rPr>
        <w:t xml:space="preserve">Вычисление интегралов</w:t>
      </w:r>
    </w:p>
    <w:p>
      <w:pPr>
        <w:pStyle w:val="BodyText"/>
      </w:pPr>
      <w:r>
        <w:t xml:space="preserve">Octave имеет несколько встроенных функций для вычисления определённых интегралов. Мы будем использовать команду quad (сокращение от слова квадратура). Вычислим интеграл: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π</m:t>
              </m:r>
              <m:r>
                <m:t>/</m:t>
              </m:r>
              <m:r>
                <m:t>2</m:t>
              </m:r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Синтаксис команды - quad( ’ f ’ , а , b). Нам нужно сначала определить функцию.</w:t>
      </w:r>
    </w:p>
    <w:p>
      <w:pPr>
        <w:pStyle w:val="BodyText"/>
      </w:pPr>
      <w:r>
        <w:drawing>
          <wp:inline>
            <wp:extent cx="4943475" cy="76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9">
        <w:r>
          <w:rPr>
            <w:rStyle w:val="Hyperlink"/>
          </w:rPr>
          <w:t xml:space="preserve">Рисунок 9. Вычисление интеграла</w:t>
        </w:r>
      </w:hyperlink>
    </w:p>
    <w:p>
      <w:pPr>
        <w:pStyle w:val="BodyText"/>
      </w:pPr>
      <w:r>
        <w:t xml:space="preserve">Обратите внимание, что функция exp (х) используется для</w:t>
      </w:r>
      <w:r>
        <w:t xml:space="preserve"> </w:t>
      </w:r>
      <m:oMath>
        <m:sSup>
          <m:e>
            <m:r>
              <m:t>e</m:t>
            </m:r>
          </m:e>
          <m:sup>
            <m:r>
              <m:t>х</m:t>
            </m:r>
          </m:sup>
        </m:sSup>
      </m:oMath>
      <w:r>
        <w:t xml:space="preserve">.Мы использовали конструкцию function . . . end.</w:t>
      </w:r>
    </w:p>
    <w:p>
      <w:pPr>
        <w:pStyle w:val="BodyText"/>
      </w:pPr>
      <w:r>
        <w:rPr>
          <w:b/>
        </w:rPr>
        <w:t xml:space="preserve">Аппроксимирование суммами</w:t>
      </w:r>
    </w:p>
    <w:p>
      <w:pPr>
        <w:pStyle w:val="BodyText"/>
      </w:pPr>
      <w:r>
        <w:t xml:space="preserve">Правило средней точки, правило трапеции и правило Симпсона являются общими алгоритмами, используемыми для численного интегрирования. Напишем скрипт,чтобы вычислить интеграл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π</m:t>
              </m:r>
              <m:r>
                <m:t>/</m:t>
              </m:r>
              <m:r>
                <m:t>2</m:t>
              </m:r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по правилу средней точки для n = 100. Стратегия заключается в использовании цикла,который добавляет значение функции к промежуточной сумме с каждой итерацией.В конце сумма умножается на</w:t>
      </w:r>
      <w:r>
        <w:t xml:space="preserve"> </w:t>
      </w:r>
      <m:oMath>
        <m:r>
          <m:t>Δ</m:t>
        </m:r>
        <m:r>
          <m:t>х</m:t>
        </m:r>
      </m:oMath>
      <w:r>
        <w:t xml:space="preserve">.</w:t>
      </w:r>
      <w:r>
        <w:t xml:space="preserve"> </w:t>
      </w:r>
      <w:r>
        <w:t xml:space="preserve">Введём код в текстовом файле и назовём его midpoint.m.</w:t>
      </w:r>
    </w:p>
    <w:p>
      <w:pPr>
        <w:pStyle w:val="BodyText"/>
      </w:pPr>
      <w:r>
        <w:drawing>
          <wp:inline>
            <wp:extent cx="4953000" cy="3171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1">
        <w:r>
          <w:rPr>
            <w:rStyle w:val="Hyperlink"/>
          </w:rPr>
          <w:t xml:space="preserve">Рисунок 10. Код файла mibpoint.m</w:t>
        </w:r>
      </w:hyperlink>
    </w:p>
    <w:p>
      <w:pPr>
        <w:pStyle w:val="BodyText"/>
      </w:pPr>
      <w:r>
        <w:t xml:space="preserve">Ондолжен бытьпомещён вваш рабочий каталог,азатем его можно запустить,набрав midpoint в командной строке.</w:t>
      </w:r>
    </w:p>
    <w:p>
      <w:pPr>
        <w:pStyle w:val="BodyText"/>
      </w:pPr>
      <w:r>
        <w:drawing>
          <wp:inline>
            <wp:extent cx="4943475" cy="9239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3">
        <w:r>
          <w:rPr>
            <w:rStyle w:val="Hyperlink"/>
          </w:rPr>
          <w:t xml:space="preserve">Рисунок 11. Запуск файла mibpoint.m</w:t>
        </w:r>
      </w:hyperlink>
    </w:p>
    <w:p>
      <w:pPr>
        <w:pStyle w:val="BodyText"/>
      </w:pPr>
      <w:r>
        <w:t xml:space="preserve">Традиционный код работает хорошо,но поскольку Octave является векторным языком,также можно писать векторизованный код, который не требует каких-либо циклов. Создадим вектор x-координат средних точек. Затем мы оцениваем</w:t>
      </w:r>
      <w:r>
        <w:t xml:space="preserve"> </w:t>
      </w:r>
      <w:r>
        <w:t xml:space="preserve">f по этому вектору средней точки,чтобы получить вектор значений функции.Аппроксимация средней точки - это сумма компонент вектора,умноженная на</w:t>
      </w:r>
      <w:r>
        <w:t xml:space="preserve"> </w:t>
      </w:r>
      <m:oMath>
        <m:r>
          <m:t>Δ</m:t>
        </m:r>
        <m:r>
          <m:t>х</m:t>
        </m:r>
      </m:oMath>
      <w:r>
        <w:t xml:space="preserve">.</w:t>
      </w:r>
    </w:p>
    <w:p>
      <w:pPr>
        <w:pStyle w:val="BodyText"/>
      </w:pPr>
      <w:r>
        <w:drawing>
          <wp:inline>
            <wp:extent cx="4895850" cy="2724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5">
        <w:r>
          <w:rPr>
            <w:rStyle w:val="Hyperlink"/>
          </w:rPr>
          <w:t xml:space="preserve">Рисунок 12. Код файла mibpoint_v.m</w:t>
        </w:r>
      </w:hyperlink>
    </w:p>
    <w:p>
      <w:pPr>
        <w:pStyle w:val="BodyText"/>
      </w:pPr>
      <w:r>
        <w:t xml:space="preserve">Запустим его:</w:t>
      </w:r>
    </w:p>
    <w:p>
      <w:pPr>
        <w:pStyle w:val="BodyText"/>
      </w:pPr>
      <w:r>
        <w:drawing>
          <wp:inline>
            <wp:extent cx="5000625" cy="95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7">
        <w:r>
          <w:rPr>
            <w:rStyle w:val="Hyperlink"/>
          </w:rPr>
          <w:t xml:space="preserve">Рисунок 13. Запуск файла mibpoint_v.m</w:t>
        </w:r>
      </w:hyperlink>
    </w:p>
    <w:p>
      <w:pPr>
        <w:pStyle w:val="BodyText"/>
      </w:pPr>
      <w:r>
        <w:t xml:space="preserve">Сравним результаты и время выполнения для каждой реализации.</w:t>
      </w:r>
    </w:p>
    <w:p>
      <w:pPr>
        <w:pStyle w:val="BodyText"/>
      </w:pPr>
      <w:r>
        <w:drawing>
          <wp:inline>
            <wp:extent cx="5019675" cy="2343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59">
        <w:r>
          <w:rPr>
            <w:rStyle w:val="Hyperlink"/>
          </w:rPr>
          <w:t xml:space="preserve">Рисунок 13. Результаты и время выполнения</w:t>
        </w:r>
      </w:hyperlink>
    </w:p>
    <w:p>
      <w:pPr>
        <w:pStyle w:val="BodyText"/>
      </w:pPr>
      <w:r>
        <w:t xml:space="preserve">Результаты обоих методов получились одинаковыми, но метод оценки функции с помощью цикла выполняется намного медленнее.</w:t>
      </w:r>
    </w:p>
    <w:bookmarkEnd w:id="60"/>
    <w:bookmarkStart w:id="61" w:name="вывод"/>
    <w:p>
      <w:pPr>
        <w:pStyle w:val="Heading3"/>
      </w:pPr>
      <w:r>
        <w:t xml:space="preserve">Вывод:</w:t>
      </w:r>
    </w:p>
    <w:p>
      <w:pPr>
        <w:pStyle w:val="FirstParagraph"/>
      </w:pPr>
      <w:r>
        <w:t xml:space="preserve">В процессе выполнения лабораторной работы с помощью Octave мы рассмотрели пределы, последовательности и ряды, а также два метода оценки функции: с помощью циклов и с помощью вектора входных значений и сравнили их.</w:t>
      </w:r>
    </w:p>
    <w:p>
      <w:pPr>
        <w:pStyle w:val="SourceCode"/>
      </w:pP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jpg" /><Relationship Type="http://schemas.openxmlformats.org/officeDocument/2006/relationships/image" Id="rId31" Target="media/rId31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hyperlink" Id="rId44" Target="graph1.jpg" TargetMode="External" /><Relationship Type="http://schemas.openxmlformats.org/officeDocument/2006/relationships/hyperlink" Id="rId32" Target="screen1.jpg" TargetMode="External" /><Relationship Type="http://schemas.openxmlformats.org/officeDocument/2006/relationships/hyperlink" Id="rId53" Target="screen10.jpg" TargetMode="External" /><Relationship Type="http://schemas.openxmlformats.org/officeDocument/2006/relationships/hyperlink" Id="rId55" Target="screen11.jpg" TargetMode="External" /><Relationship Type="http://schemas.openxmlformats.org/officeDocument/2006/relationships/hyperlink" Id="rId57" Target="screen12.jpg" TargetMode="External" /><Relationship Type="http://schemas.openxmlformats.org/officeDocument/2006/relationships/hyperlink" Id="rId59" Target="screen13.jpg" TargetMode="External" /><Relationship Type="http://schemas.openxmlformats.org/officeDocument/2006/relationships/hyperlink" Id="rId34" Target="screen2.jpg" TargetMode="External" /><Relationship Type="http://schemas.openxmlformats.org/officeDocument/2006/relationships/hyperlink" Id="rId36" Target="screen3.jpg" TargetMode="External" /><Relationship Type="http://schemas.openxmlformats.org/officeDocument/2006/relationships/hyperlink" Id="rId38" Target="screen4.jpg" TargetMode="External" /><Relationship Type="http://schemas.openxmlformats.org/officeDocument/2006/relationships/hyperlink" Id="rId40" Target="screen5.jpg" TargetMode="External" /><Relationship Type="http://schemas.openxmlformats.org/officeDocument/2006/relationships/hyperlink" Id="rId42" Target="screen6.jpg" TargetMode="External" /><Relationship Type="http://schemas.openxmlformats.org/officeDocument/2006/relationships/hyperlink" Id="rId46" Target="screen7.jpg" TargetMode="External" /><Relationship Type="http://schemas.openxmlformats.org/officeDocument/2006/relationships/hyperlink" Id="rId49" Target="screen8.jpg" TargetMode="External" /><Relationship Type="http://schemas.openxmlformats.org/officeDocument/2006/relationships/hyperlink" Id="rId51" Target="screen9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raph1.jpg" TargetMode="External" /><Relationship Type="http://schemas.openxmlformats.org/officeDocument/2006/relationships/hyperlink" Id="rId32" Target="screen1.jpg" TargetMode="External" /><Relationship Type="http://schemas.openxmlformats.org/officeDocument/2006/relationships/hyperlink" Id="rId53" Target="screen10.jpg" TargetMode="External" /><Relationship Type="http://schemas.openxmlformats.org/officeDocument/2006/relationships/hyperlink" Id="rId55" Target="screen11.jpg" TargetMode="External" /><Relationship Type="http://schemas.openxmlformats.org/officeDocument/2006/relationships/hyperlink" Id="rId57" Target="screen12.jpg" TargetMode="External" /><Relationship Type="http://schemas.openxmlformats.org/officeDocument/2006/relationships/hyperlink" Id="rId59" Target="screen13.jpg" TargetMode="External" /><Relationship Type="http://schemas.openxmlformats.org/officeDocument/2006/relationships/hyperlink" Id="rId34" Target="screen2.jpg" TargetMode="External" /><Relationship Type="http://schemas.openxmlformats.org/officeDocument/2006/relationships/hyperlink" Id="rId36" Target="screen3.jpg" TargetMode="External" /><Relationship Type="http://schemas.openxmlformats.org/officeDocument/2006/relationships/hyperlink" Id="rId38" Target="screen4.jpg" TargetMode="External" /><Relationship Type="http://schemas.openxmlformats.org/officeDocument/2006/relationships/hyperlink" Id="rId40" Target="screen5.jpg" TargetMode="External" /><Relationship Type="http://schemas.openxmlformats.org/officeDocument/2006/relationships/hyperlink" Id="rId42" Target="screen6.jpg" TargetMode="External" /><Relationship Type="http://schemas.openxmlformats.org/officeDocument/2006/relationships/hyperlink" Id="rId46" Target="screen7.jpg" TargetMode="External" /><Relationship Type="http://schemas.openxmlformats.org/officeDocument/2006/relationships/hyperlink" Id="rId49" Target="screen8.jpg" TargetMode="External" /><Relationship Type="http://schemas.openxmlformats.org/officeDocument/2006/relationships/hyperlink" Id="rId51" Target="screen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2020-12-18T20:25:20Z</dcterms:created>
  <dcterms:modified xsi:type="dcterms:W3CDTF">2020-12-18T20:25:20Z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