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«Ознайомлення з робочим середовищем віртуальних машин та операційних систем різних сімейств»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Виконав(ла) студент </w:t>
      </w:r>
    </w:p>
    <w:p w:rsidR="00000000" w:rsidDel="00000000" w:rsidP="00000000" w:rsidRDefault="00000000" w:rsidRPr="00000000" w14:paraId="0000001C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КСМ-93аб</w:t>
      </w:r>
    </w:p>
    <w:p w:rsidR="00000000" w:rsidDel="00000000" w:rsidP="00000000" w:rsidRDefault="00000000" w:rsidRPr="00000000" w14:paraId="0000001D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Зубко Н.О. </w:t>
      </w:r>
    </w:p>
    <w:p w:rsidR="00000000" w:rsidDel="00000000" w:rsidP="00000000" w:rsidRDefault="00000000" w:rsidRPr="00000000" w14:paraId="0000001E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F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Повхліб В.С.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2021</w:t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8">
      <w:p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короткі торетичні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715"/>
        <w:tblGridChange w:id="0">
          <w:tblGrid>
            <w:gridCol w:w="5865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shared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спільний хостинг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1 hypervisor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які іноді ще називають нативними або металевими, працюють прямо на апаратному забезпеченні хоста, щоб контролювати його і управляти гостьовими машинами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machine simulators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віртуальнi машин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binary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Двійкова трансляція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host 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головна операційна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32629"/>
                <w:sz w:val="23"/>
                <w:szCs w:val="23"/>
                <w:highlight w:val="white"/>
                <w:rtl w:val="0"/>
              </w:rPr>
              <w:t xml:space="preserve">guest 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гостьова операційна система;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Java Virtual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віртуальна машина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9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  <w:rtl w:val="0"/>
        </w:rPr>
        <w:t xml:space="preserve">Гіпервізор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 або 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  <w:rtl w:val="0"/>
        </w:rPr>
        <w:t xml:space="preserve">Монітор віртуальних машин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 — 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9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jc w:val="both"/>
        <w:rPr>
          <w:rFonts w:ascii="Arial" w:cs="Arial" w:eastAsia="Arial" w:hAnsi="Arial"/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Xen — багатоплатформовий гіпервізор, розроблений в комп'ютерній лабораторії Кембриджського університету і поширюваний на умовах ліцензії GPL.</w:t>
      </w:r>
    </w:p>
    <w:p w:rsidR="00000000" w:rsidDel="00000000" w:rsidP="00000000" w:rsidRDefault="00000000" w:rsidRPr="00000000" w14:paraId="00000055">
      <w:pPr>
        <w:shd w:fill="ffffff" w:val="clear"/>
        <w:spacing w:after="100" w:before="100" w:lineRule="auto"/>
        <w:jc w:val="both"/>
        <w:rPr>
          <w:rFonts w:ascii="Arial" w:cs="Arial" w:eastAsia="Arial" w:hAnsi="Arial"/>
          <w:b w:val="1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Основні особливості Xen: підтримка режиму паравіртуалізації крім апаратної віртуалізації, мінімальність коду гіпервізора за рахунок виносу більшої частини компонентів за межі гіпервізора.</w:t>
      </w:r>
    </w:p>
    <w:p w:rsidR="00000000" w:rsidDel="00000000" w:rsidP="00000000" w:rsidRDefault="00000000" w:rsidRPr="00000000" w14:paraId="00000056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Розкрийте поняття «GNU GPL», яка його основна концепція?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4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highlight w:val="white"/>
          <w:rtl w:val="0"/>
        </w:rPr>
        <w:t xml:space="preserve">Концепція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Мета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highlight w:val="white"/>
          <w:rtl w:val="0"/>
        </w:rPr>
        <w:t xml:space="preserve">GNU GPL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 ...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highlight w:val="white"/>
          <w:rtl w:val="0"/>
        </w:rPr>
        <w:t xml:space="preserve">GPL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— приклад сильної копілефт-ліцензії,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highlight w:val="white"/>
          <w:rtl w:val="0"/>
        </w:rPr>
        <w:t xml:space="preserve">яка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вимагає, щоб усі похідні роботи були доступні на тих же умовах, що й оригінал.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</w:t>
      </w:r>
      <w:r w:rsidDel="00000000" w:rsidR="00000000" w:rsidRPr="00000000">
        <w:rPr>
          <w:sz w:val="28"/>
          <w:szCs w:val="28"/>
          <w:rtl w:val="0"/>
        </w:rPr>
        <w:t xml:space="preserve">Linux працює на безлічі процесорів різних архітектур, таких як x86, x86-64, PowerPC, ARM, RISC-V, Alpha AXP, SPARC, Motorola 680x0, SuperH, IBM System / 390, MIPS, PA-RISC, AXIS CRIS, Renesas M32R , Atmel AVR32, Renesas H8 / 300, NEC V850, Tensilica Xtensa, «Ельбрус» і багатьох інших.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Anaconda - дистрибутив мов програмування Python і R, що включає набір популярних вільних бібліотек, об'єднаних проблематики науки про дані і машинного навчання. Основна мета - поставка єдиним узгодженим комплектом найбільш затребуваних відповідним колом користувачів тематичних модулів (таких як NumPy, SciPy, Astropy і інших) з дозволом виникають залежностей і конфліктів, які неминучі при одиночній установці. Станом на 2019 рік, Anaconda містить більше 1,5 тис. Модулів. Завдяки цьому, дистрибутив зараз стає більш популярним.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 особливість дистрибутива - оригінальний менеджер залежності не будуть задоволені conda з графічним інтерфейсом «Anaconda Navigator», що дозволяє відмовитися від стандартних менеджерів пакетів (таких, як pip для Python). Дистрибутив скачується раз, і вся подальша конфігурація, в тому числі установка додаткових модулів, може проводиться в офлайні. Крім того,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забезпечується можливість ведення декількох ізольованих середовищ з роздільним дозволом версійність залежностей в кожній.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Підтримуються платформи Linux (x86-64), Windows (i686, x86-64) і macOS. Розповсюджується за ліцензією BSD.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Nautilus - файловий менеджер для робочих оточень GNOME і Unity.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Ubuntu він встановлений як основний файловий менеджер, а також як менеджер робочого столу.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rFonts w:ascii="Arial" w:cs="Arial" w:eastAsia="Arial" w:hAnsi="Arial"/>
          <w:color w:val="35395a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color w:val="35395a"/>
          <w:sz w:val="28"/>
          <w:szCs w:val="28"/>
          <w:highlight w:val="white"/>
          <w:rtl w:val="0"/>
        </w:rPr>
        <w:t xml:space="preserve">Завантажте комп'ютер з інсталяційного DVD CentOS 6.5.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rFonts w:ascii="Arial" w:cs="Arial" w:eastAsia="Arial" w:hAnsi="Arial"/>
          <w:color w:val="35395a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5395a"/>
          <w:sz w:val="28"/>
          <w:szCs w:val="28"/>
          <w:highlight w:val="white"/>
          <w:rtl w:val="0"/>
        </w:rPr>
        <w:t xml:space="preserve">Виберіть в меню "Install" або "upgrade an existing system" і натисніть TAB. Далі, введіть "linux text"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jc w:val="both"/>
        <w:rPr>
          <w:rFonts w:ascii="Arial" w:cs="Arial" w:eastAsia="Arial" w:hAnsi="Arial"/>
          <w:color w:val="535e9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rFonts w:ascii="Arial" w:cs="Arial" w:eastAsia="Arial" w:hAnsi="Arial"/>
          <w:color w:val="3539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Інтерфейс користувача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 - це термін, що використовується для визначення того, як користувач взаємодіє з електронним пристроєм, зокрема з комп'ютером. CLI і GUI - різні види інтерфейсів користувача. В основному вони відрізняються графікою, що використовується в операційній системі. Для виконання операції над системою CLI потрібно написати команду. З іншого боку, у користувачах графічного інтерфейсу надані візуальні засоби (графіки), які включають зображення та іконки, що полегшує користувачам безпосереднє виконання завдання.</w:t>
      </w:r>
    </w:p>
    <w:p w:rsidR="00000000" w:rsidDel="00000000" w:rsidP="00000000" w:rsidRDefault="00000000" w:rsidRPr="00000000" w14:paraId="00000073">
      <w:pPr>
        <w:spacing w:after="160" w:line="408" w:lineRule="auto"/>
        <w:jc w:val="both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Системи CLI вимагають знань у командах для виконання завдань, тоді як графічний інтерфейс не вимагає знань, він також може працювати з початківцями.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60.0" w:type="pct"/>
        <w:tblBorders>
          <w:top w:color="eaeaea" w:space="0" w:sz="6" w:val="single"/>
          <w:left w:color="eaeaea" w:space="0" w:sz="6" w:val="single"/>
          <w:bottom w:color="eaeaea" w:space="0" w:sz="6" w:val="single"/>
          <w:right w:color="eaeaea" w:space="0" w:sz="6" w:val="single"/>
          <w:insideH w:color="eaeaea" w:space="0" w:sz="6" w:val="single"/>
          <w:insideV w:color="eaeaea" w:space="0" w:sz="6" w:val="single"/>
        </w:tblBorders>
        <w:tblLayout w:type="fixed"/>
        <w:tblLook w:val="0600"/>
      </w:tblPr>
      <w:tblGrid>
        <w:gridCol w:w="2325"/>
        <w:gridCol w:w="2985"/>
        <w:gridCol w:w="3555"/>
        <w:tblGridChange w:id="0">
          <w:tblGrid>
            <w:gridCol w:w="2325"/>
            <w:gridCol w:w="2985"/>
            <w:gridCol w:w="35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900" w:firstLine="0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Основа для порівняння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900" w:firstLine="0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900" w:firstLine="0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900" w:firstLine="0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Основний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Інтерфейс командного рядка дозволяє користувачеві спілкуватися з системою за допомогою команд.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Графічний інтерфейс користувача дозволяє користувачеві взаємодіяти з системою за допомогою графіки, яка включає зображення, іконки тощо.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Використовується пристрій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Клавіатура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Миша і клавіатура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Легкість виконання завдань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Важко виконати операцію і вимагати експертизи.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Легко виконувати завдання і не вимагає знань.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Точність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Високий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Низький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Гнучкість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Непримиренний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Більш гнучкі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Споживання пам'яті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Низький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Високий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Зовнішній вигляд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Не можна змінити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Можна використовувати спеціальні зміни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Швидкість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Швидко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Повільно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Інтеграція та розширюваність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Обсяг потенційних поліпшень</w:t>
            </w:r>
          </w:p>
        </w:tc>
        <w:tc>
          <w:tcPr>
            <w:tcBorders>
              <w:top w:color="e5e5e5" w:space="0" w:sz="6" w:val="single"/>
              <w:left w:color="e5e5e5" w:space="0" w:sz="6" w:val="single"/>
              <w:bottom w:color="e5e5e5" w:space="0" w:sz="6" w:val="single"/>
              <w:right w:color="e5e5e5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Обмежений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300" w:before="300" w:line="364.65882352941173" w:lineRule="auto"/>
        <w:jc w:val="both"/>
        <w:rPr>
          <w:rFonts w:ascii="Arial" w:cs="Arial" w:eastAsia="Arial" w:hAnsi="Arial"/>
          <w:color w:val="333333"/>
          <w:sz w:val="42"/>
          <w:szCs w:val="42"/>
        </w:rPr>
      </w:pPr>
      <w:bookmarkStart w:colFirst="0" w:colLast="0" w:name="_redu1hjn2fkk" w:id="1"/>
      <w:bookmarkEnd w:id="1"/>
      <w:r w:rsidDel="00000000" w:rsidR="00000000" w:rsidRPr="00000000">
        <w:rPr>
          <w:rFonts w:ascii="Arial" w:cs="Arial" w:eastAsia="Arial" w:hAnsi="Arial"/>
          <w:color w:val="333333"/>
          <w:sz w:val="42"/>
          <w:szCs w:val="42"/>
          <w:rtl w:val="0"/>
        </w:rPr>
        <w:t xml:space="preserve">Ключові відмінності між CLI і GUI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CLI дозволяє користувачам вводити команду вручну для виконання бажаного завдання, тоді як у графічному інтерфейсі користувачі надають візуальні ефекти для взаємодії з операційною системою, наприклад, кнопок, піктограм, зображень тощо.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Завдання в графічному інтерфейсі легко виконувати і добре для початківців. З іншого боку, CLI потребує досвіду роботи над командами та синтаксисом.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Системи графічного інтерфейсу вимагають миші і клавіатури, а CLI просто вимагає клавіатури для роботи.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Більш високу точність можна досягти в CLI порівняно з графічним інтерфейсом.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Графічний інтерфейс має перевагу над гнучкістю, де системи CLI негнучкі.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Графічний інтерфейс споживає більше системного простору, тоді як CLI потребує менших ресурсів системи та простору.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Поява CLI не може бути змінена. Навпаки, зовнішній вигляд графічного інтерфейсу регулюється.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CLI швидше, ніж GUI.</w:t>
      </w:r>
    </w:p>
    <w:p w:rsidR="00000000" w:rsidDel="00000000" w:rsidP="00000000" w:rsidRDefault="00000000" w:rsidRPr="00000000" w14:paraId="0000009E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5. Адміністративна операційна система, відома також як привілейований домен (dom0 в гіпервізор Xen), працює поверх гіпервізора так само, як віртуальні машини. Ця адміністративна операційна система відповідає за управління віртуальними машинами на одному сервері і працює з гіпервізором . Розрізняють два типи гіпервізора. </w:t>
      </w:r>
    </w:p>
    <w:p w:rsidR="00000000" w:rsidDel="00000000" w:rsidP="00000000" w:rsidRDefault="00000000" w:rsidRPr="00000000" w14:paraId="000000A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Гіпервізор I типу просто потрібно запустити над апаратними засобами для управління апаратними засобами і управління гостьовою операційною системою. Він також відповідає за більшість комунікацій між усіма гостьовими ОС і апаратними засобами. Відомі екземпляри цього типу: Xen, VMware ESX і Microsoft Hyper-V. </w:t>
      </w:r>
    </w:p>
    <w:p w:rsidR="00000000" w:rsidDel="00000000" w:rsidP="00000000" w:rsidRDefault="00000000" w:rsidRPr="00000000" w14:paraId="000000A1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55555"/>
          <w:sz w:val="28"/>
          <w:szCs w:val="28"/>
          <w:rtl w:val="0"/>
        </w:rPr>
        <w:t xml:space="preserve">Гіпервізор типу II працює як додаток в рамках хоста операційної системи. ОС хоста відповідає за надання драйверів введення / виведення і управління гостьовою ОС віртуальних машин. VMware Workstation, VMware Server і Virtual Box є прикладом архітектури віртуалізації типу II на основі гіпервізора</w:t>
      </w:r>
    </w:p>
    <w:p w:rsidR="00000000" w:rsidDel="00000000" w:rsidP="00000000" w:rsidRDefault="00000000" w:rsidRPr="00000000" w14:paraId="000000A2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after="160" w:lineRule="auto"/>
        <w:ind w:left="720" w:firstLine="0"/>
        <w:rPr>
          <w:rFonts w:ascii="Roboto" w:cs="Roboto" w:eastAsia="Roboto" w:hAnsi="Roboto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6">
      <w:pPr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</w:t>
      </w:r>
      <w:r w:rsidDel="00000000" w:rsidR="00000000" w:rsidRPr="00000000">
        <w:rPr>
          <w:sz w:val="28"/>
          <w:szCs w:val="28"/>
          <w:rtl w:val="0"/>
        </w:rPr>
        <w:t xml:space="preserve">о ознайомлення з робочим середовищем віртуальних машин та операційних систем різних сімейств Windows , Linux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headerReference r:id="rId6" w:type="default"/>
      <w:footerReference r:id="rId7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