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w1s8upsaqi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40"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3">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ESTUDIO LEGAL</w:t>
      </w:r>
    </w:p>
    <w:p w:rsidR="00000000" w:rsidDel="00000000" w:rsidP="00000000" w:rsidRDefault="00000000" w:rsidRPr="00000000" w14:paraId="00000004">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ANEXO C</w:t>
      </w:r>
    </w:p>
    <w:p w:rsidR="00000000" w:rsidDel="00000000" w:rsidP="00000000" w:rsidRDefault="00000000" w:rsidRPr="00000000" w14:paraId="00000005">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6">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7">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08">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Integrantes</w:t>
      </w:r>
    </w:p>
    <w:p w:rsidR="00000000" w:rsidDel="00000000" w:rsidP="00000000" w:rsidRDefault="00000000" w:rsidRPr="00000000" w14:paraId="00000009">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Linder Yolian Rodriguez Cortes</w:t>
      </w:r>
    </w:p>
    <w:p w:rsidR="00000000" w:rsidDel="00000000" w:rsidP="00000000" w:rsidRDefault="00000000" w:rsidRPr="00000000" w14:paraId="0000000A">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Cristhian Camilo Ballesteros Sanchez</w:t>
      </w:r>
    </w:p>
    <w:p w:rsidR="00000000" w:rsidDel="00000000" w:rsidP="00000000" w:rsidRDefault="00000000" w:rsidRPr="00000000" w14:paraId="0000000B">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Wilson Alexander Muñoz Cardenas</w:t>
      </w:r>
    </w:p>
    <w:p w:rsidR="00000000" w:rsidDel="00000000" w:rsidP="00000000" w:rsidRDefault="00000000" w:rsidRPr="00000000" w14:paraId="0000000C">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Leidy Lorena Maldonado Guauta</w:t>
      </w:r>
    </w:p>
    <w:p w:rsidR="00000000" w:rsidDel="00000000" w:rsidP="00000000" w:rsidRDefault="00000000" w:rsidRPr="00000000" w14:paraId="0000000D">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Jose Gamero Burgos</w:t>
      </w:r>
    </w:p>
    <w:p w:rsidR="00000000" w:rsidDel="00000000" w:rsidP="00000000" w:rsidRDefault="00000000" w:rsidRPr="00000000" w14:paraId="0000000E">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Mariana Rodriguez Londoño </w:t>
      </w:r>
    </w:p>
    <w:p w:rsidR="00000000" w:rsidDel="00000000" w:rsidP="00000000" w:rsidRDefault="00000000" w:rsidRPr="00000000" w14:paraId="0000000F">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Andres Felipe Ocampo Londoño</w:t>
      </w:r>
    </w:p>
    <w:p w:rsidR="00000000" w:rsidDel="00000000" w:rsidP="00000000" w:rsidRDefault="00000000" w:rsidRPr="00000000" w14:paraId="00000010">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Maria Angel Camargo Toledo</w:t>
      </w:r>
    </w:p>
    <w:p w:rsidR="00000000" w:rsidDel="00000000" w:rsidP="00000000" w:rsidRDefault="00000000" w:rsidRPr="00000000" w14:paraId="00000011">
      <w:pPr>
        <w:spacing w:after="160" w:line="259"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2">
      <w:pPr>
        <w:spacing w:after="160" w:line="259"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3">
      <w:pPr>
        <w:spacing w:after="160" w:line="259"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4">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5">
      <w:pPr>
        <w:spacing w:after="160" w:line="259"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6">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Instituto de Educación en Ingeniería</w:t>
      </w:r>
    </w:p>
    <w:p w:rsidR="00000000" w:rsidDel="00000000" w:rsidP="00000000" w:rsidRDefault="00000000" w:rsidRPr="00000000" w14:paraId="00000017">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Facultad Minas</w:t>
      </w:r>
    </w:p>
    <w:p w:rsidR="00000000" w:rsidDel="00000000" w:rsidP="00000000" w:rsidRDefault="00000000" w:rsidRPr="00000000" w14:paraId="00000018">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Proyecto integrado de ingeniería</w:t>
      </w:r>
    </w:p>
    <w:p w:rsidR="00000000" w:rsidDel="00000000" w:rsidP="00000000" w:rsidRDefault="00000000" w:rsidRPr="00000000" w14:paraId="00000019">
      <w:pPr>
        <w:spacing w:after="160" w:line="276.923076923076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Christian Rafael Ortiz Jimenez</w:t>
      </w:r>
    </w:p>
    <w:p w:rsidR="00000000" w:rsidDel="00000000" w:rsidP="00000000" w:rsidRDefault="00000000" w:rsidRPr="00000000" w14:paraId="0000001A">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B">
      <w:pPr>
        <w:spacing w:after="160" w:line="259" w:lineRule="auto"/>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C">
      <w:pPr>
        <w:spacing w:after="160" w:line="259" w:lineRule="auto"/>
        <w:jc w:val="cente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1D">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Medellín</w:t>
      </w:r>
    </w:p>
    <w:p w:rsidR="00000000" w:rsidDel="00000000" w:rsidP="00000000" w:rsidRDefault="00000000" w:rsidRPr="00000000" w14:paraId="0000001E">
      <w:pPr>
        <w:spacing w:after="160" w:line="259" w:lineRule="auto"/>
        <w:jc w:val="center"/>
        <w:rPr>
          <w:rFonts w:ascii="Ancizar Sans" w:cs="Ancizar Sans" w:eastAsia="Ancizar Sans" w:hAnsi="Ancizar Sans"/>
        </w:rPr>
      </w:pPr>
      <w:r w:rsidDel="00000000" w:rsidR="00000000" w:rsidRPr="00000000">
        <w:rPr>
          <w:rFonts w:ascii="Ancizar Sans" w:cs="Ancizar Sans" w:eastAsia="Ancizar Sans" w:hAnsi="Ancizar Sans"/>
          <w:rtl w:val="0"/>
        </w:rPr>
        <w:t xml:space="preserve">10 de mayo</w:t>
      </w:r>
    </w:p>
    <w:p w:rsidR="00000000" w:rsidDel="00000000" w:rsidP="00000000" w:rsidRDefault="00000000" w:rsidRPr="00000000" w14:paraId="0000001F">
      <w:pP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20">
      <w:pP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21">
      <w:pPr>
        <w:rPr>
          <w:rFonts w:ascii="Ancizar Sans" w:cs="Ancizar Sans" w:eastAsia="Ancizar Sans" w:hAnsi="Ancizar Sans"/>
        </w:rPr>
      </w:pPr>
      <w:r w:rsidDel="00000000" w:rsidR="00000000" w:rsidRPr="00000000">
        <w:rPr>
          <w:rtl w:val="0"/>
        </w:rPr>
      </w:r>
    </w:p>
    <w:sdt>
      <w:sdtPr>
        <w:id w:val="383361768"/>
        <w:docPartObj>
          <w:docPartGallery w:val="Table of Contents"/>
          <w:docPartUnique w:val="1"/>
        </w:docPartObj>
      </w:sdtPr>
      <w:sdtContent>
        <w:p w:rsidR="00000000" w:rsidDel="00000000" w:rsidP="00000000" w:rsidRDefault="00000000" w:rsidRPr="00000000" w14:paraId="00000022">
          <w:pPr>
            <w:widowControl w:val="0"/>
            <w:tabs>
              <w:tab w:val="right" w:leader="dot" w:pos="9025.511811023624"/>
            </w:tabs>
            <w:spacing w:before="60" w:line="240" w:lineRule="auto"/>
            <w:jc w:val="center"/>
            <w:rPr>
              <w:rFonts w:ascii="Ancizar Sans" w:cs="Ancizar Sans" w:eastAsia="Ancizar Sans" w:hAnsi="Ancizar Sans"/>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ncizar Sans" w:cs="Ancizar Sans" w:eastAsia="Ancizar Sans" w:hAnsi="Ancizar Sans"/>
              <w:b w:val="1"/>
              <w:bCs w:val="1"/>
              <w:rtl w:val="0"/>
            </w:rPr>
            <w:t xml:space="preserve">Tabla de contenido</w:t>
          </w:r>
        </w:p>
        <w:p w:rsidR="00000000" w:rsidDel="00000000" w:rsidP="00000000" w:rsidRDefault="00000000" w:rsidRPr="00000000" w14:paraId="00000023">
          <w:pPr>
            <w:widowControl w:val="0"/>
            <w:tabs>
              <w:tab w:val="right" w:leader="dot" w:pos="9025.511811023624"/>
            </w:tabs>
            <w:spacing w:before="60" w:line="240" w:lineRule="auto"/>
            <w:rPr>
              <w:rFonts w:ascii="Ancizar Sans" w:cs="Ancizar Sans" w:eastAsia="Ancizar Sans" w:hAnsi="Ancizar Sans"/>
            </w:rPr>
          </w:pPr>
          <w:hyperlink w:anchor="_vp4s1wby5wmv">
            <w:r w:rsidDel="00000000" w:rsidR="00000000" w:rsidRPr="00000000">
              <w:rPr>
                <w:rFonts w:ascii="Ancizar Sans" w:cs="Ancizar Sans" w:eastAsia="Ancizar Sans" w:hAnsi="Ancizar Sans"/>
                <w:rtl w:val="0"/>
              </w:rPr>
              <w:t xml:space="preserve">7. Estudio legal</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Ancizar Sans" w:cs="Ancizar Sans" w:eastAsia="Ancizar Sans" w:hAnsi="Ancizar Sans"/>
            </w:rPr>
          </w:pPr>
          <w:hyperlink w:anchor="_3hl9nz8gu6xr">
            <w:r w:rsidDel="00000000" w:rsidR="00000000" w:rsidRPr="00000000">
              <w:rPr>
                <w:rFonts w:ascii="Ancizar Sans" w:cs="Ancizar Sans" w:eastAsia="Ancizar Sans" w:hAnsi="Ancizar Sans"/>
                <w:rtl w:val="0"/>
              </w:rPr>
              <w:t xml:space="preserve">7.1. Marco normativo ambiental</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Ancizar Sans" w:cs="Ancizar Sans" w:eastAsia="Ancizar Sans" w:hAnsi="Ancizar Sans"/>
            </w:rPr>
          </w:pPr>
          <w:hyperlink w:anchor="_wdsq9jgikzuu">
            <w:r w:rsidDel="00000000" w:rsidR="00000000" w:rsidRPr="00000000">
              <w:rPr>
                <w:rFonts w:ascii="Ancizar Sans" w:cs="Ancizar Sans" w:eastAsia="Ancizar Sans" w:hAnsi="Ancizar Sans"/>
                <w:rtl w:val="0"/>
              </w:rPr>
              <w:t xml:space="preserve">7.2 Regulación de UAV en Colombia</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rFonts w:ascii="Ancizar Sans" w:cs="Ancizar Sans" w:eastAsia="Ancizar Sans" w:hAnsi="Ancizar Sans"/>
            </w:rPr>
          </w:pPr>
          <w:hyperlink w:anchor="_dwgzvy4nduxs">
            <w:r w:rsidDel="00000000" w:rsidR="00000000" w:rsidRPr="00000000">
              <w:rPr>
                <w:rFonts w:ascii="Ancizar Sans" w:cs="Ancizar Sans" w:eastAsia="Ancizar Sans" w:hAnsi="Ancizar Sans"/>
                <w:rtl w:val="0"/>
              </w:rPr>
              <w:t xml:space="preserve">7.3 Registros ICA para uso de agroquímicos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Ancizar Sans" w:cs="Ancizar Sans" w:eastAsia="Ancizar Sans" w:hAnsi="Ancizar Sans"/>
            </w:rPr>
          </w:pPr>
          <w:hyperlink w:anchor="_anljv4q3uvrh">
            <w:r w:rsidDel="00000000" w:rsidR="00000000" w:rsidRPr="00000000">
              <w:rPr>
                <w:rFonts w:ascii="Ancizar Sans" w:cs="Ancizar Sans" w:eastAsia="Ancizar Sans" w:hAnsi="Ancizar Sans"/>
                <w:rtl w:val="0"/>
              </w:rPr>
              <w:t xml:space="preserve">7.4 Protección de datos y habeas data</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Ancizar Sans" w:cs="Ancizar Sans" w:eastAsia="Ancizar Sans" w:hAnsi="Ancizar Sans"/>
            </w:rPr>
          </w:pPr>
          <w:hyperlink w:anchor="_jc4pzustjl6m">
            <w:r w:rsidDel="00000000" w:rsidR="00000000" w:rsidRPr="00000000">
              <w:rPr>
                <w:rFonts w:ascii="Ancizar Sans" w:cs="Ancizar Sans" w:eastAsia="Ancizar Sans" w:hAnsi="Ancizar Sans"/>
                <w:rtl w:val="0"/>
              </w:rPr>
              <w:t xml:space="preserve">7.5 Propiedad intelectual, marca y registro del software</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Ancizar Sans" w:cs="Ancizar Sans" w:eastAsia="Ancizar Sans" w:hAnsi="Ancizar Sans"/>
        </w:rPr>
      </w:pPr>
      <w:r w:rsidDel="00000000" w:rsidR="00000000" w:rsidRPr="00000000">
        <w:rPr>
          <w:rtl w:val="0"/>
        </w:rPr>
      </w:r>
    </w:p>
    <w:p w:rsidR="00000000" w:rsidDel="00000000" w:rsidP="00000000" w:rsidRDefault="00000000" w:rsidRPr="00000000" w14:paraId="0000002A">
      <w:pPr>
        <w:pStyle w:val="Heading1"/>
        <w:spacing w:after="240" w:before="240" w:line="240" w:lineRule="auto"/>
        <w:jc w:val="center"/>
        <w:rPr>
          <w:rFonts w:ascii="Ancizar Sans" w:cs="Ancizar Sans" w:eastAsia="Ancizar Sans" w:hAnsi="Ancizar Sans"/>
          <w:sz w:val="22"/>
          <w:szCs w:val="22"/>
        </w:rPr>
      </w:pPr>
      <w:bookmarkStart w:colFirst="0" w:colLast="0" w:name="_im30okr8s9nk" w:id="1"/>
      <w:bookmarkEnd w:id="1"/>
      <w:r w:rsidDel="00000000" w:rsidR="00000000" w:rsidRPr="00000000">
        <w:rPr>
          <w:rtl w:val="0"/>
        </w:rPr>
      </w:r>
    </w:p>
    <w:p w:rsidR="00000000" w:rsidDel="00000000" w:rsidP="00000000" w:rsidRDefault="00000000" w:rsidRPr="00000000" w14:paraId="0000002B">
      <w:pPr>
        <w:pStyle w:val="Heading1"/>
        <w:spacing w:after="240" w:before="240" w:line="240" w:lineRule="auto"/>
        <w:jc w:val="center"/>
        <w:rPr>
          <w:rFonts w:ascii="Ancizar Sans" w:cs="Ancizar Sans" w:eastAsia="Ancizar Sans" w:hAnsi="Ancizar Sans"/>
          <w:sz w:val="22"/>
          <w:szCs w:val="22"/>
        </w:rPr>
      </w:pPr>
      <w:bookmarkStart w:colFirst="0" w:colLast="0" w:name="_gj7c64b9wm5f" w:id="2"/>
      <w:bookmarkEnd w:id="2"/>
      <w:r w:rsidDel="00000000" w:rsidR="00000000" w:rsidRPr="00000000">
        <w:rPr>
          <w:rtl w:val="0"/>
        </w:rPr>
      </w:r>
    </w:p>
    <w:p w:rsidR="00000000" w:rsidDel="00000000" w:rsidP="00000000" w:rsidRDefault="00000000" w:rsidRPr="00000000" w14:paraId="0000002C">
      <w:pPr>
        <w:pStyle w:val="Heading1"/>
        <w:spacing w:after="240" w:before="240" w:line="240" w:lineRule="auto"/>
        <w:jc w:val="center"/>
        <w:rPr>
          <w:rFonts w:ascii="Ancizar Sans" w:cs="Ancizar Sans" w:eastAsia="Ancizar Sans" w:hAnsi="Ancizar Sans"/>
          <w:sz w:val="22"/>
          <w:szCs w:val="22"/>
        </w:rPr>
      </w:pPr>
      <w:bookmarkStart w:colFirst="0" w:colLast="0" w:name="_n3h0gav0y286" w:id="3"/>
      <w:bookmarkEnd w:id="3"/>
      <w:r w:rsidDel="00000000" w:rsidR="00000000" w:rsidRPr="00000000">
        <w:rPr>
          <w:rtl w:val="0"/>
        </w:rPr>
      </w:r>
    </w:p>
    <w:p w:rsidR="00000000" w:rsidDel="00000000" w:rsidP="00000000" w:rsidRDefault="00000000" w:rsidRPr="00000000" w14:paraId="0000002D">
      <w:pPr>
        <w:pStyle w:val="Heading1"/>
        <w:spacing w:after="240" w:before="240" w:line="240" w:lineRule="auto"/>
        <w:jc w:val="center"/>
        <w:rPr>
          <w:rFonts w:ascii="Ancizar Sans" w:cs="Ancizar Sans" w:eastAsia="Ancizar Sans" w:hAnsi="Ancizar Sans"/>
          <w:sz w:val="22"/>
          <w:szCs w:val="22"/>
        </w:rPr>
      </w:pPr>
      <w:bookmarkStart w:colFirst="0" w:colLast="0" w:name="_962jqh5oxuyk" w:id="4"/>
      <w:bookmarkEnd w:id="4"/>
      <w:r w:rsidDel="00000000" w:rsidR="00000000" w:rsidRPr="00000000">
        <w:rPr>
          <w:rtl w:val="0"/>
        </w:rPr>
      </w:r>
    </w:p>
    <w:p w:rsidR="00000000" w:rsidDel="00000000" w:rsidP="00000000" w:rsidRDefault="00000000" w:rsidRPr="00000000" w14:paraId="0000002E">
      <w:pPr>
        <w:pStyle w:val="Heading1"/>
        <w:spacing w:after="240" w:before="240" w:line="240" w:lineRule="auto"/>
        <w:jc w:val="center"/>
        <w:rPr>
          <w:rFonts w:ascii="Ancizar Sans" w:cs="Ancizar Sans" w:eastAsia="Ancizar Sans" w:hAnsi="Ancizar Sans"/>
          <w:sz w:val="22"/>
          <w:szCs w:val="22"/>
        </w:rPr>
      </w:pPr>
      <w:bookmarkStart w:colFirst="0" w:colLast="0" w:name="_wad8p2a61iph" w:id="5"/>
      <w:bookmarkEnd w:id="5"/>
      <w:r w:rsidDel="00000000" w:rsidR="00000000" w:rsidRPr="00000000">
        <w:rPr>
          <w:rtl w:val="0"/>
        </w:rPr>
      </w:r>
    </w:p>
    <w:p w:rsidR="00000000" w:rsidDel="00000000" w:rsidP="00000000" w:rsidRDefault="00000000" w:rsidRPr="00000000" w14:paraId="0000002F">
      <w:pPr>
        <w:pStyle w:val="Heading1"/>
        <w:spacing w:after="240" w:before="240" w:line="240" w:lineRule="auto"/>
        <w:jc w:val="center"/>
        <w:rPr>
          <w:rFonts w:ascii="Ancizar Sans" w:cs="Ancizar Sans" w:eastAsia="Ancizar Sans" w:hAnsi="Ancizar Sans"/>
          <w:sz w:val="22"/>
          <w:szCs w:val="22"/>
        </w:rPr>
      </w:pPr>
      <w:bookmarkStart w:colFirst="0" w:colLast="0" w:name="_e92lyab37ry3" w:id="6"/>
      <w:bookmarkEnd w:id="6"/>
      <w:r w:rsidDel="00000000" w:rsidR="00000000" w:rsidRPr="00000000">
        <w:rPr>
          <w:rtl w:val="0"/>
        </w:rPr>
      </w:r>
    </w:p>
    <w:p w:rsidR="00000000" w:rsidDel="00000000" w:rsidP="00000000" w:rsidRDefault="00000000" w:rsidRPr="00000000" w14:paraId="00000030">
      <w:pPr>
        <w:pStyle w:val="Heading1"/>
        <w:spacing w:after="240" w:before="240" w:line="240" w:lineRule="auto"/>
        <w:jc w:val="center"/>
        <w:rPr>
          <w:rFonts w:ascii="Ancizar Sans" w:cs="Ancizar Sans" w:eastAsia="Ancizar Sans" w:hAnsi="Ancizar Sans"/>
          <w:sz w:val="22"/>
          <w:szCs w:val="22"/>
        </w:rPr>
      </w:pPr>
      <w:bookmarkStart w:colFirst="0" w:colLast="0" w:name="_bw0rl0xp21ii" w:id="7"/>
      <w:bookmarkEnd w:id="7"/>
      <w:r w:rsidDel="00000000" w:rsidR="00000000" w:rsidRPr="00000000">
        <w:rPr>
          <w:rtl w:val="0"/>
        </w:rPr>
      </w:r>
    </w:p>
    <w:p w:rsidR="00000000" w:rsidDel="00000000" w:rsidP="00000000" w:rsidRDefault="00000000" w:rsidRPr="00000000" w14:paraId="00000031">
      <w:pPr>
        <w:pStyle w:val="Heading1"/>
        <w:spacing w:after="240" w:before="240" w:line="240" w:lineRule="auto"/>
        <w:rPr>
          <w:rFonts w:ascii="Ancizar Sans" w:cs="Ancizar Sans" w:eastAsia="Ancizar Sans" w:hAnsi="Ancizar Sans"/>
          <w:sz w:val="22"/>
          <w:szCs w:val="22"/>
        </w:rPr>
      </w:pPr>
      <w:bookmarkStart w:colFirst="0" w:colLast="0" w:name="_gky4h3dyrrc0" w:id="8"/>
      <w:bookmarkEnd w:id="8"/>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after="240" w:before="240" w:line="240" w:lineRule="auto"/>
        <w:jc w:val="center"/>
        <w:rPr>
          <w:rFonts w:ascii="Ancizar Sans" w:cs="Ancizar Sans" w:eastAsia="Ancizar Sans" w:hAnsi="Ancizar Sans"/>
          <w:b w:val="1"/>
          <w:bCs w:val="1"/>
          <w:sz w:val="22"/>
          <w:szCs w:val="22"/>
        </w:rPr>
      </w:pPr>
      <w:bookmarkStart w:colFirst="0" w:colLast="0" w:name="_vp4s1wby5wmv" w:id="9"/>
      <w:bookmarkEnd w:id="9"/>
      <w:r w:rsidDel="00000000" w:rsidR="00000000" w:rsidRPr="00000000">
        <w:rPr>
          <w:rFonts w:ascii="Ancizar Sans" w:cs="Ancizar Sans" w:eastAsia="Ancizar Sans" w:hAnsi="Ancizar Sans"/>
          <w:b w:val="1"/>
          <w:bCs w:val="1"/>
          <w:sz w:val="22"/>
          <w:szCs w:val="22"/>
          <w:rtl w:val="0"/>
        </w:rPr>
        <w:t xml:space="preserve">7. Estudio legal</w:t>
      </w:r>
    </w:p>
    <w:p w:rsidR="00000000" w:rsidDel="00000000" w:rsidP="00000000" w:rsidRDefault="00000000" w:rsidRPr="00000000" w14:paraId="00000046">
      <w:pPr>
        <w:pStyle w:val="Heading2"/>
        <w:spacing w:after="240" w:before="240" w:line="240" w:lineRule="auto"/>
        <w:jc w:val="both"/>
        <w:rPr>
          <w:rFonts w:ascii="Ancizar Sans" w:cs="Ancizar Sans" w:eastAsia="Ancizar Sans" w:hAnsi="Ancizar Sans"/>
          <w:b w:val="1"/>
          <w:bCs w:val="1"/>
          <w:sz w:val="22"/>
          <w:szCs w:val="22"/>
        </w:rPr>
      </w:pPr>
      <w:bookmarkStart w:colFirst="0" w:colLast="0" w:name="_3hl9nz8gu6xr" w:id="10"/>
      <w:bookmarkEnd w:id="10"/>
      <w:r w:rsidDel="00000000" w:rsidR="00000000" w:rsidRPr="00000000">
        <w:rPr>
          <w:rFonts w:ascii="Ancizar Sans" w:cs="Ancizar Sans" w:eastAsia="Ancizar Sans" w:hAnsi="Ancizar Sans"/>
          <w:b w:val="1"/>
          <w:bCs w:val="1"/>
          <w:sz w:val="22"/>
          <w:szCs w:val="22"/>
          <w:rtl w:val="0"/>
        </w:rPr>
        <w:t xml:space="preserve">7.1. Marco normativo ambiental </w:t>
      </w:r>
    </w:p>
    <w:p w:rsidR="00000000" w:rsidDel="00000000" w:rsidP="00000000" w:rsidRDefault="00000000" w:rsidRPr="00000000" w14:paraId="00000047">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proyecto </w:t>
      </w:r>
      <w:r w:rsidDel="00000000" w:rsidR="00000000" w:rsidRPr="00000000">
        <w:rPr>
          <w:rFonts w:ascii="Ancizar Sans" w:cs="Ancizar Sans" w:eastAsia="Ancizar Sans" w:hAnsi="Ancizar Sans"/>
          <w:rtl w:val="0"/>
        </w:rPr>
        <w:t xml:space="preserve">AgroSmart</w:t>
      </w:r>
      <w:r w:rsidDel="00000000" w:rsidR="00000000" w:rsidRPr="00000000">
        <w:rPr>
          <w:rFonts w:ascii="Ancizar Sans" w:cs="Ancizar Sans" w:eastAsia="Ancizar Sans" w:hAnsi="Ancizar Sans"/>
          <w:rtl w:val="0"/>
        </w:rPr>
        <w:t xml:space="preserve"> se enmarca dentro del sistema normativo ambiental colombiano, el cual, </w:t>
      </w:r>
      <w:r w:rsidDel="00000000" w:rsidR="00000000" w:rsidRPr="00000000">
        <w:rPr>
          <w:rFonts w:ascii="Ancizar Sans" w:cs="Ancizar Sans" w:eastAsia="Ancizar Sans" w:hAnsi="Ancizar Sans"/>
          <w:rtl w:val="0"/>
        </w:rPr>
        <w:t xml:space="preserve">en el Decreto Ley 2811 de 1974 y posteriormente, en la ley 99 de 1993, establece</w:t>
      </w:r>
      <w:r w:rsidDel="00000000" w:rsidR="00000000" w:rsidRPr="00000000">
        <w:rPr>
          <w:rFonts w:ascii="Ancizar Sans" w:cs="Ancizar Sans" w:eastAsia="Ancizar Sans" w:hAnsi="Ancizar Sans"/>
          <w:rtl w:val="0"/>
        </w:rPr>
        <w:t xml:space="preserve"> principios y disposiciones orientadas a la protección de los recursos naturales y la prevención de impactos derivados de actividades productivas y la autonomía, de la autoridad ambiental, para regular lo que concierne a la fumigación tanto manual como aérea en su área de jurisdicción, la cual, para el caso de estudio, es la Corporación Autónoma Regional del Alto Magdalena. </w:t>
      </w:r>
    </w:p>
    <w:p w:rsidR="00000000" w:rsidDel="00000000" w:rsidP="00000000" w:rsidRDefault="00000000" w:rsidRPr="00000000" w14:paraId="00000048">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contexto, el decreto 1076 de 2015, en el artículo 2.2.3.3.4.19., establece que además de las exigencias establecidas por la autoridad ambiental competente para efectos de la prevención de la contaminación del recurso hídrico por la aplicación de agroquímicos, se prohíbe la aplicación aérea de agroquímicos dentro de una franja de 30 metros desde la orilla de cualquier cuerpo de agua.</w:t>
      </w:r>
    </w:p>
    <w:p w:rsidR="00000000" w:rsidDel="00000000" w:rsidP="00000000" w:rsidRDefault="00000000" w:rsidRPr="00000000" w14:paraId="0000004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Asimismo, el decreto 1076 de 2015, en su título 7 regula la prevención y control de contaminación ambiental por el manejo de plaguicidas, donde se regula que el usuario debe sujetarse a lo que establezcan los programas de reducción y manejo del riesgo para el ambiente, y realizar acciones que le correspondan como mantener en los mínimos posibles, la existencia de agroquímicos a ser usados, teniendo que el uso de la aplicación para optimizar el uso de agroquímicos cumple con este requerimiento puntual de la normatividad.</w:t>
      </w:r>
    </w:p>
    <w:p w:rsidR="00000000" w:rsidDel="00000000" w:rsidP="00000000" w:rsidRDefault="00000000" w:rsidRPr="00000000" w14:paraId="0000004A">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 manera específica, estas disposiciones se relacionan con la necesidad de prevenir riesgos de contaminación por escorrentía, deriva y lixiviación, así como con el uso eficiente del agua en los procesos de fumigación. Asimismo, se establecen lineamientos para el manejo seguro de plaguicidas y el cumplimiento de buenas prácticas agrícolas, bajo la supervisión de autoridades ambientales nacionales y regionales. En este sentido, el proyecto se articula como una herramienta que facilita el cumplimiento de dichas disposiciones mediante la optimización en la aplicación de insumos.</w:t>
      </w:r>
    </w:p>
    <w:p w:rsidR="00000000" w:rsidDel="00000000" w:rsidP="00000000" w:rsidRDefault="00000000" w:rsidRPr="00000000" w14:paraId="0000004B">
      <w:pPr>
        <w:pStyle w:val="Heading2"/>
        <w:spacing w:after="240" w:before="240" w:line="240" w:lineRule="auto"/>
        <w:jc w:val="both"/>
        <w:rPr>
          <w:rFonts w:ascii="Ancizar Sans" w:cs="Ancizar Sans" w:eastAsia="Ancizar Sans" w:hAnsi="Ancizar Sans"/>
          <w:b w:val="1"/>
          <w:bCs w:val="1"/>
          <w:sz w:val="22"/>
          <w:szCs w:val="22"/>
        </w:rPr>
      </w:pPr>
      <w:bookmarkStart w:colFirst="0" w:colLast="0" w:name="_wdsq9jgikzuu" w:id="11"/>
      <w:bookmarkEnd w:id="11"/>
      <w:r w:rsidDel="00000000" w:rsidR="00000000" w:rsidRPr="00000000">
        <w:rPr>
          <w:rFonts w:ascii="Ancizar Sans" w:cs="Ancizar Sans" w:eastAsia="Ancizar Sans" w:hAnsi="Ancizar Sans"/>
          <w:b w:val="1"/>
          <w:bCs w:val="1"/>
          <w:sz w:val="22"/>
          <w:szCs w:val="22"/>
          <w:rtl w:val="0"/>
        </w:rPr>
        <w:t xml:space="preserve">7.2 Regulación de UAV en Colombia</w:t>
      </w:r>
    </w:p>
    <w:p w:rsidR="00000000" w:rsidDel="00000000" w:rsidP="00000000" w:rsidRDefault="00000000" w:rsidRPr="00000000" w14:paraId="0000004C">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uso de aeronaves no tripuladas en el proyecto se encuentra regulado por la normativa aeronáutica vigente, la cual establece las condiciones técnicas, operativas y de seguridad para la operación de drones en el espacio aéreo colombiano. Estas disposiciones se aplican especialmente a operaciones con fines comerciales o especializados, como la fumigación agrícola.</w:t>
      </w:r>
    </w:p>
    <w:p w:rsidR="00000000" w:rsidDel="00000000" w:rsidP="00000000" w:rsidRDefault="00000000" w:rsidRPr="00000000" w14:paraId="0000004D">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marco, en el numeral 100.330 de la RAC-100 se definen las condiciones especiales para la operación de aspersión y dispersión en categoría abierta, la cual establece que el operador del dron podrá realizar actividades de aspersión dentro de un predio de su propiedad sin que requiera autorizaciones de vuelo si los vuelos no se realizan a más de 10 metros de altura sobre la capa vegetal, la operación se realiza dentro de los límites del predio, el dron no supera los 250 kilogramos de peso al despegue, y que el operario cuente con un certificado de idoneidad.</w:t>
      </w:r>
    </w:p>
    <w:p w:rsidR="00000000" w:rsidDel="00000000" w:rsidP="00000000" w:rsidRDefault="00000000" w:rsidRPr="00000000" w14:paraId="0000004E">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Aunque esta normativa no regula directamente a </w:t>
      </w:r>
      <w:r w:rsidDel="00000000" w:rsidR="00000000" w:rsidRPr="00000000">
        <w:rPr>
          <w:rFonts w:ascii="Ancizar Sans" w:cs="Ancizar Sans" w:eastAsia="Ancizar Sans" w:hAnsi="Ancizar Sans"/>
          <w:rtl w:val="0"/>
        </w:rPr>
        <w:t xml:space="preserve">AgroSmart</w:t>
      </w:r>
      <w:r w:rsidDel="00000000" w:rsidR="00000000" w:rsidRPr="00000000">
        <w:rPr>
          <w:rFonts w:ascii="Ancizar Sans" w:cs="Ancizar Sans" w:eastAsia="Ancizar Sans" w:hAnsi="Ancizar Sans"/>
          <w:rtl w:val="0"/>
        </w:rPr>
        <w:t xml:space="preserve"> como proyecto, si es de obligatorio cumplimiento para el usuario, lo cual se debe especificar en la guía del usuario de la aplicación para ofrecer un acompañamiento integral e idóneo. </w:t>
      </w:r>
    </w:p>
    <w:p w:rsidR="00000000" w:rsidDel="00000000" w:rsidP="00000000" w:rsidRDefault="00000000" w:rsidRPr="00000000" w14:paraId="0000004F">
      <w:pPr>
        <w:pStyle w:val="Heading2"/>
        <w:spacing w:after="240" w:before="240" w:line="240" w:lineRule="auto"/>
        <w:jc w:val="both"/>
        <w:rPr>
          <w:rFonts w:ascii="Ancizar Sans" w:cs="Ancizar Sans" w:eastAsia="Ancizar Sans" w:hAnsi="Ancizar Sans"/>
          <w:b w:val="1"/>
          <w:bCs w:val="1"/>
          <w:sz w:val="22"/>
          <w:szCs w:val="22"/>
        </w:rPr>
      </w:pPr>
      <w:bookmarkStart w:colFirst="0" w:colLast="0" w:name="_dwgzvy4nduxs" w:id="12"/>
      <w:bookmarkEnd w:id="12"/>
      <w:r w:rsidDel="00000000" w:rsidR="00000000" w:rsidRPr="00000000">
        <w:rPr>
          <w:rFonts w:ascii="Ancizar Sans" w:cs="Ancizar Sans" w:eastAsia="Ancizar Sans" w:hAnsi="Ancizar Sans"/>
          <w:b w:val="1"/>
          <w:bCs w:val="1"/>
          <w:sz w:val="22"/>
          <w:szCs w:val="22"/>
          <w:rtl w:val="0"/>
        </w:rPr>
        <w:t xml:space="preserve">7.3 Registros ICA para uso de agroquímicos</w:t>
      </w:r>
    </w:p>
    <w:p w:rsidR="00000000" w:rsidDel="00000000" w:rsidP="00000000" w:rsidRDefault="00000000" w:rsidRPr="00000000" w14:paraId="00000050">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uso de agroquímicos en Colombia se encuentra regulado por el Instituto Colombiano Agropecuario, entidad encargada del control fitosanitario y de garantizar que los insumos agrícolas utilizados en el país cumplan con condiciones de seguridad, eficacia y calidad. Esta regulación resulta fundamental en el desarrollo del proyecto, dado que la aplicación de agroquímicos constituye una de las actividades principales, especialmente en procesos de fumigación mediante tecnologías de precisión como drones.</w:t>
      </w:r>
    </w:p>
    <w:p w:rsidR="00000000" w:rsidDel="00000000" w:rsidP="00000000" w:rsidRDefault="00000000" w:rsidRPr="00000000" w14:paraId="00000051">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contexto, de acuerdo con la Resolución 75486 de 2020, los productos utilizados, como el AGROTIN y otros insumos contemplados en el proyecto, deben contar con registro vigente ante el ICA, lo cual certifica que han sido evaluados técnicamente para su uso en determinadas condiciones. Asimismo, según el Decreto 1496 de 2018, el cual establece que el Manual Técnico Andino para el Registro y Control de Plaguicidas Químicos de Uso Agrícola reglamentado por la Resolución 630 de 2002, obliga a que los agroquímicos deben cumplir con requisitos de etiquetado, donde se especifican aspectos como las dosis recomendadas, los cultivos autorizados, las condiciones de aplicación y las medidas de seguridad. De igual forma, estos productos deben presentar una clasificación toxicológica definida, lo cual permite establecer protocolos adecuados de manejo, almacenamiento y aplicación, reduciendo riesgos para la salud humana y el ambiente.</w:t>
      </w:r>
    </w:p>
    <w:p w:rsidR="00000000" w:rsidDel="00000000" w:rsidP="00000000" w:rsidRDefault="00000000" w:rsidRPr="00000000" w14:paraId="00000052">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relación con el proyecto, estas disposiciones tienen implicaciones directas en el diseño y funcionamiento de la aplicación desarrollada. En primer lugar, se debe garantizar que las recomendaciones generadas por el sistema respeten estrictamente las dosis establecidas en el registro ICA de cada producto, evitando cualquier tipo de sobredosificación, problemática previamente identificada en el caso de estudio. </w:t>
      </w:r>
    </w:p>
    <w:p w:rsidR="00000000" w:rsidDel="00000000" w:rsidP="00000000" w:rsidRDefault="00000000" w:rsidRPr="00000000" w14:paraId="00000053">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segundo lugar, la aplicación no debe sugerir usos diferentes a los autorizados en la etiqueta del producto, asegurando que su implementación se mantenga dentro del marco legal vigente. Finalmente, se promueve el uso eficiente y controlado de agroquímicos, lo cual no solo contribuye al cumplimiento normativo, sino que también fortalece la sostenibilidad ambiental del sistema productivo al reducir impactos negativos asociados a su aplicación.</w:t>
      </w:r>
    </w:p>
    <w:p w:rsidR="00000000" w:rsidDel="00000000" w:rsidP="00000000" w:rsidRDefault="00000000" w:rsidRPr="00000000" w14:paraId="00000054">
      <w:pPr>
        <w:pStyle w:val="Heading2"/>
        <w:spacing w:after="240" w:before="240" w:line="240" w:lineRule="auto"/>
        <w:jc w:val="both"/>
        <w:rPr>
          <w:rFonts w:ascii="Ancizar Sans" w:cs="Ancizar Sans" w:eastAsia="Ancizar Sans" w:hAnsi="Ancizar Sans"/>
          <w:b w:val="1"/>
          <w:bCs w:val="1"/>
          <w:sz w:val="22"/>
          <w:szCs w:val="22"/>
        </w:rPr>
      </w:pPr>
      <w:bookmarkStart w:colFirst="0" w:colLast="0" w:name="_anljv4q3uvrh" w:id="13"/>
      <w:bookmarkEnd w:id="13"/>
      <w:r w:rsidDel="00000000" w:rsidR="00000000" w:rsidRPr="00000000">
        <w:rPr>
          <w:rFonts w:ascii="Ancizar Sans" w:cs="Ancizar Sans" w:eastAsia="Ancizar Sans" w:hAnsi="Ancizar Sans"/>
          <w:b w:val="1"/>
          <w:bCs w:val="1"/>
          <w:sz w:val="22"/>
          <w:szCs w:val="22"/>
          <w:rtl w:val="0"/>
        </w:rPr>
        <w:t xml:space="preserve">7.4 Protección de datos y habeas data</w:t>
      </w:r>
    </w:p>
    <w:p w:rsidR="00000000" w:rsidDel="00000000" w:rsidP="00000000" w:rsidRDefault="00000000" w:rsidRPr="00000000" w14:paraId="00000055">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componente tecnológico del proyecto implica el tratamiento de datos personales, por lo cual debe garantizarse el cumplimiento del régimen de protección de datos en Colombia, particularmente lo establecido en la Ley 1581 de 2012. Este marco normativo define principios para el manejo de la información y reconoce derechos para los titulares, tales como el acceso, corrección, actualización y eliminación de sus datos personales.</w:t>
      </w:r>
    </w:p>
    <w:p w:rsidR="00000000" w:rsidDel="00000000" w:rsidP="00000000" w:rsidRDefault="00000000" w:rsidRPr="00000000" w14:paraId="00000056">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En este contexto, la aplicación debe asegurar que la información recolectada —como datos de ubicación, condiciones del cultivo, registros operacionales y actividades asociadas a la aplicación de agroquímicos— sea tratada conforme a una finalidad previamente definida, con autorización expresa del usuario y mediante mecanismos que garanticen la seguridad y confidencialidad de la información. Asimismo, deben implementarse políticas claras de tratamiento de datos y canales de atención que permitan a los usuarios ejercer sus derechos sobre la información suministrada.</w:t>
      </w:r>
    </w:p>
    <w:p w:rsidR="00000000" w:rsidDel="00000000" w:rsidP="00000000" w:rsidRDefault="00000000" w:rsidRPr="00000000" w14:paraId="00000057">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De igual manera, al incorporar herramientas de monitoreo, el proyecto deberá garantizar transparencia respecto a los datos recopilados, la finalidad de su uso y las medidas de protección implementadas. Esto implica que cualquier proceso de monitoreo debe desarrollarse bajo criterios de necesidad, proporcionalidad y responsabilidad, evitando afectar la privacidad de los usuarios u operarios y asegurando que la recolección de información se limite estrictamente a los requerimientos técnicos y funcionales del sistema.</w:t>
      </w:r>
    </w:p>
    <w:p w:rsidR="00000000" w:rsidDel="00000000" w:rsidP="00000000" w:rsidRDefault="00000000" w:rsidRPr="00000000" w14:paraId="00000058">
      <w:pPr>
        <w:pStyle w:val="Heading2"/>
        <w:spacing w:after="240" w:before="240" w:line="240" w:lineRule="auto"/>
        <w:jc w:val="both"/>
        <w:rPr>
          <w:rFonts w:ascii="Ancizar Sans" w:cs="Ancizar Sans" w:eastAsia="Ancizar Sans" w:hAnsi="Ancizar Sans"/>
          <w:b w:val="1"/>
          <w:bCs w:val="1"/>
          <w:sz w:val="22"/>
          <w:szCs w:val="22"/>
        </w:rPr>
      </w:pPr>
      <w:bookmarkStart w:colFirst="0" w:colLast="0" w:name="_jc4pzustjl6m" w:id="14"/>
      <w:bookmarkEnd w:id="14"/>
      <w:r w:rsidDel="00000000" w:rsidR="00000000" w:rsidRPr="00000000">
        <w:rPr>
          <w:rFonts w:ascii="Ancizar Sans" w:cs="Ancizar Sans" w:eastAsia="Ancizar Sans" w:hAnsi="Ancizar Sans"/>
          <w:b w:val="1"/>
          <w:bCs w:val="1"/>
          <w:sz w:val="22"/>
          <w:szCs w:val="22"/>
          <w:rtl w:val="0"/>
        </w:rPr>
        <w:t xml:space="preserve">7.5 Propiedad intelectual, marca y registro del software</w:t>
      </w:r>
    </w:p>
    <w:p w:rsidR="00000000" w:rsidDel="00000000" w:rsidP="00000000" w:rsidRDefault="00000000" w:rsidRPr="00000000" w14:paraId="00000059">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El desarrollo del aplicativo se encuentra protegido por el régimen de propiedad intelectual en Colombia, conforme a la Ley 23 de 1982 y la Decisión Andina 351 de 1993, que reconocen el software como una obra protegida por derechos de autor. En este sentido, el código fuente cuenta con protección automática desde el momento de su creación, al constituir una expresión original de carácter intelectual. No obstante, se recomienda realizar el registro del software ante la Dirección Nacional de Derecho de Autor, con el fin de contar con un respaldo jurídico que facilite la prueba de titularidad en caso de conflictos. De manera complementaria, los elementos distintivos del proyecto, como el nombre y el logotipo, deben ser registrados ante la Superintendencia de Industria y Comercio, lo que garantiza su protección y uso exclusivo en el mercado.</w:t>
      </w:r>
    </w:p>
    <w:p w:rsidR="00000000" w:rsidDel="00000000" w:rsidP="00000000" w:rsidRDefault="00000000" w:rsidRPr="00000000" w14:paraId="0000005A">
      <w:pPr>
        <w:spacing w:after="240" w:before="240" w:line="240" w:lineRule="auto"/>
        <w:jc w:val="both"/>
        <w:rPr>
          <w:rFonts w:ascii="Ancizar Sans" w:cs="Ancizar Sans" w:eastAsia="Ancizar Sans" w:hAnsi="Ancizar Sans"/>
        </w:rPr>
      </w:pPr>
      <w:r w:rsidDel="00000000" w:rsidR="00000000" w:rsidRPr="00000000">
        <w:rPr>
          <w:rFonts w:ascii="Ancizar Sans" w:cs="Ancizar Sans" w:eastAsia="Ancizar Sans" w:hAnsi="Ancizar Sans"/>
          <w:rtl w:val="0"/>
        </w:rPr>
        <w:t xml:space="preserve">Adicionalmente, resulta necesario definir el modelo de licenciamiento del software, particularmente si se implementa bajo un esquema de Software como Servicio (SaaS), así como establecer los términos y condiciones de uso de la aplicación. En estos se deben delimitar las responsabilidades del usuario y del proveedor, incluyendo cláusulas de limitación de responsabilidad frente a decisiones tomadas a partir de la información generada por el sistema. </w:t>
      </w:r>
    </w:p>
    <w:p w:rsidR="00000000" w:rsidDel="00000000" w:rsidP="00000000" w:rsidRDefault="00000000" w:rsidRPr="00000000" w14:paraId="0000005B">
      <w:pPr>
        <w:rPr>
          <w:rFonts w:ascii="Ancizar Sans" w:cs="Ancizar Sans" w:eastAsia="Ancizar Sans" w:hAnsi="Ancizar Sans"/>
        </w:rPr>
      </w:pPr>
      <w:r w:rsidDel="00000000" w:rsidR="00000000" w:rsidRPr="00000000">
        <w:rPr>
          <w:rtl w:val="0"/>
        </w:rPr>
      </w:r>
    </w:p>
    <w:sectPr>
      <w:footerReference r:id="rId6" w:type="default"/>
      <w:footerReference r:id="rId7"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ciza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cizarSans-regular.ttf"/><Relationship Id="rId2" Type="http://schemas.openxmlformats.org/officeDocument/2006/relationships/font" Target="fonts/AncizarSans-bold.ttf"/><Relationship Id="rId3" Type="http://schemas.openxmlformats.org/officeDocument/2006/relationships/font" Target="fonts/AncizarSans-italic.ttf"/><Relationship Id="rId4" Type="http://schemas.openxmlformats.org/officeDocument/2006/relationships/font" Target="fonts/Ancizar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