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b/>
          <w:bCs/>
          <w:color w:val="1F4E78"/>
          <w:sz w:val="30"/>
          <w:szCs w:val="30"/>
        </w:rPr>
        <w:t xml:space="preserve">Anexo N°X — Justificación del stack tecnológico y análisis de alternativas</w:t>
      </w:r>
    </w:p>
    <w:p>
      <w:pPr>
        <w:spacing w:after="120"/>
        <w:jc w:val="both"/>
      </w:pPr>
      <w:r>
        <w:rPr>
          <w:b/>
          <w:bCs/>
        </w:rPr>
        <w:t xml:space="preserve">Propósito del anexo. </w:t>
      </w:r>
      <w:r>
        <w:t xml:space="preserve">Este anexo extiende la Tabla del Stack tecnológico presentada en la sección 8.4.3 del cuerpo del informe. Para cada componente arquitectónico de AgroSmart se documentan las alternativas evaluadas, los criterios de decisión aplicados, los costos aproximados de operación y la razón final que sustenta la elección. La intención es hacer trazable cada decisión técnica y evitar que la selección del stack quede como una afirmación sin sustento.</w:t>
      </w:r>
    </w:p>
    <w:p>
      <w:pPr>
        <w:spacing w:after="120"/>
        <w:jc w:val="both"/>
      </w:pPr>
      <w:r>
        <w:rPr>
          <w:b/>
          <w:bCs/>
        </w:rPr>
        <w:t xml:space="preserve">Criterios transversales de evaluación. </w:t>
      </w:r>
      <w:r>
        <w:t xml:space="preserve">Todas las decisiones del stack se evalúan contra cinco criterios comunes: (i) costo de operación mensual para un cliente único, (ii) curva de aprendizaje y mantenimiento por parte del equipo, (iii) compatibilidad con los requisitos del DSS (manejo de datos espaciales, operación offline, integración con APIs), (iv) tamaño de la comunidad y disponibilidad de librerías, y (v) ajuste al tamaño del proyecto (evitar sobre-ingeniería para un piloto de un cliente).</w:t>
      </w:r>
    </w:p>
    <w:p>
      <w:pPr>
        <w:pStyle w:val="Heading2"/>
        <w:keepNext/>
        <w:spacing w:after="120" w:before="260"/>
      </w:pPr>
      <w:r>
        <w:rPr>
          <w:b/>
          <w:bCs/>
          <w:color w:val="1F4E78"/>
          <w:sz w:val="26"/>
          <w:szCs w:val="26"/>
        </w:rPr>
        <w:t xml:space="preserve">1. Frontend móvil</w:t>
      </w:r>
    </w:p>
    <w:p>
      <w:pPr>
        <w:keepNext/>
        <w:spacing w:after="80" w:before="160"/>
        <w:jc w:val="center"/>
      </w:pPr>
      <w:r>
        <w:rPr>
          <w:b/>
          <w:bCs/>
        </w:rPr>
        <w:t xml:space="preserve">Tabla S.1. </w:t>
      </w:r>
      <w:r>
        <w:rPr>
          <w:i/>
          <w:iCs/>
        </w:rPr>
        <w:t xml:space="preserve">Alternativas evaluadas para el frontend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Alternativa</w:t>
            </w:r>
          </w:p>
        </w:tc>
        <w:tc>
          <w:tcPr>
            <w:tcW w:type="dxa" w:w="22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Criterio evaluado</w:t>
            </w:r>
          </w:p>
        </w:tc>
        <w:tc>
          <w:tcPr>
            <w:tcW w:type="dxa" w:w="476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Resultado</w:t>
            </w:r>
          </w:p>
        </w:tc>
      </w:tr>
      <w:tr>
        <w:tc>
          <w:tcPr>
            <w:tcW w:type="dxa" w:w="240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React Native (Expo)</w:t>
            </w:r>
          </w:p>
        </w:tc>
        <w:tc>
          <w:tcPr>
            <w:tcW w:type="dxa" w:w="220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Reutilización móvil-web</w:t>
            </w:r>
          </w:p>
        </w:tc>
        <w:tc>
          <w:tcPr>
            <w:tcW w:type="dxa" w:w="476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Alta: comparte hasta 90 % del código con la versión web vía React Native Web</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React Native (Expo)</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Soporte de mapas</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Excelente: react-native-maps + Mapbox GL con buena comunidad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React Native (Expo)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Curva de aprendizaje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Media: el equipo tiene experiencia previa en React</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Flutter</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Reutilización móvil-web</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Baja: requiere mantener código separado para Flutter Web</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Flutter</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Soporte de mapas</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Bueno pero menor variedad de librerías GIS especializadas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Flutter</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Curva de aprendizaje</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Alta: el equipo no maneja Dart</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Kotlin nativo + Swift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Reutilización móvil-web</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Nula: dos bases de código separadas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Kotlin nativo + Swift</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Costo de desarrollo</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Doble esfuerzo; injustificable para un piloto de un cliente</w:t>
            </w:r>
          </w:p>
        </w:tc>
      </w:tr>
    </w:tbl>
    <w:p>
      <w:pPr>
        <w:spacing w:after="120"/>
        <w:jc w:val="both"/>
      </w:pPr>
      <w:r>
        <w:rPr>
          <w:b/>
          <w:bCs/>
        </w:rPr>
        <w:t xml:space="preserve">Decisión: </w:t>
      </w:r>
      <w:r>
        <w:t xml:space="preserve">React Native con Expo. Justificación: combina la mejor reutilización de código entre móvil y web (criterio crítico para un equipo pequeño) con un soporte maduro de librerías de mapas, en un lenguaje (JavaScript/TypeScript) que el equipo ya domina.</w:t>
      </w:r>
    </w:p>
    <w:p>
      <w:pPr>
        <w:pStyle w:val="Heading2"/>
        <w:keepNext/>
        <w:spacing w:after="120" w:before="260"/>
      </w:pPr>
      <w:r>
        <w:rPr>
          <w:b/>
          <w:bCs/>
          <w:color w:val="1F4E78"/>
          <w:sz w:val="26"/>
          <w:szCs w:val="26"/>
        </w:rPr>
        <w:t xml:space="preserve">2. Backend / API</w:t>
      </w:r>
    </w:p>
    <w:p>
      <w:pPr>
        <w:keepNext/>
        <w:spacing w:after="80" w:before="160"/>
        <w:jc w:val="center"/>
      </w:pPr>
      <w:r>
        <w:rPr>
          <w:b/>
          <w:bCs/>
        </w:rPr>
        <w:t xml:space="preserve">Tabla S.2. </w:t>
      </w:r>
      <w:r>
        <w:rPr>
          <w:i/>
          <w:iCs/>
        </w:rPr>
        <w:t xml:space="preserve">Alternativas evaluadas para 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Alternativa</w:t>
            </w:r>
          </w:p>
        </w:tc>
        <w:tc>
          <w:tcPr>
            <w:tcW w:type="dxa" w:w="22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Criterio evaluado</w:t>
            </w:r>
          </w:p>
        </w:tc>
        <w:tc>
          <w:tcPr>
            <w:tcW w:type="dxa" w:w="476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Resultado</w:t>
            </w:r>
          </w:p>
        </w:tc>
      </w:tr>
      <w:tr>
        <w:tc>
          <w:tcPr>
            <w:tcW w:type="dxa" w:w="240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Python + FastAPI</w:t>
            </w:r>
          </w:p>
        </w:tc>
        <w:tc>
          <w:tcPr>
            <w:tcW w:type="dxa" w:w="220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Rendimiento asíncrono</w:t>
            </w:r>
          </w:p>
        </w:tc>
        <w:tc>
          <w:tcPr>
            <w:tcW w:type="dxa" w:w="476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Excelente: soporte async nativo para consultar múltiples APIs externas en paralelo</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Python + FastAPI</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Tipado y documentación</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Validación con Pydantic + documentación OpenAPI automática</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Python + FastAPI</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Integración con motor de cálculo</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Total: NumPy, SciPy y scikit-fuzzy disponibles en el mismo lenguaje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Python + Django</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Rendimiento asíncrono</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Bueno con Django 4+, pero overhead mayor para una API REST simple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Python + Django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Curva de aprendizaje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Mayor (ORM, admin, sistema de apps innecesarios para el piloto)</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Node.js + Express</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Integración con cálculo</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Requiere reescribir librerías científicas o llamar a procesos externos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Node.js + NestJS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Curva de aprendizaje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Alta para el equipo (TypeScript de backend, decoradores)</w:t>
            </w:r>
          </w:p>
        </w:tc>
      </w:tr>
    </w:tbl>
    <w:p>
      <w:pPr>
        <w:spacing w:after="120"/>
        <w:jc w:val="both"/>
      </w:pPr>
      <w:r>
        <w:rPr>
          <w:b/>
          <w:bCs/>
        </w:rPr>
        <w:t xml:space="preserve">Decisión: </w:t>
      </w:r>
      <w:r>
        <w:t xml:space="preserve">Python con FastAPI. Justificación: el motor de cálculo del DSS necesita librerías científicas (NumPy, SciPy) que viven naturalmente en Python; FastAPI ofrece la performance asíncrona necesaria sin el overhead de Django, y produce documentación OpenAPI automática que facilita la integración con el frontend.</w:t>
      </w:r>
    </w:p>
    <w:p>
      <w:pPr>
        <w:pStyle w:val="Heading2"/>
        <w:keepNext/>
        <w:spacing w:after="120" w:before="260"/>
      </w:pPr>
      <w:r>
        <w:rPr>
          <w:b/>
          <w:bCs/>
          <w:color w:val="1F4E78"/>
          <w:sz w:val="26"/>
          <w:szCs w:val="26"/>
        </w:rPr>
        <w:t xml:space="preserve">3. Base de datos central</w:t>
      </w:r>
    </w:p>
    <w:p>
      <w:pPr>
        <w:keepNext/>
        <w:spacing w:after="80" w:before="160"/>
        <w:jc w:val="center"/>
      </w:pPr>
      <w:r>
        <w:rPr>
          <w:b/>
          <w:bCs/>
        </w:rPr>
        <w:t xml:space="preserve">Tabla S.3. </w:t>
      </w:r>
      <w:r>
        <w:rPr>
          <w:i/>
          <w:iCs/>
        </w:rPr>
        <w:t xml:space="preserve">Alternativas evaluadas para la base de datos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Alternativa</w:t>
            </w:r>
          </w:p>
        </w:tc>
        <w:tc>
          <w:tcPr>
            <w:tcW w:type="dxa" w:w="22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Criterio evaluado</w:t>
            </w:r>
          </w:p>
        </w:tc>
        <w:tc>
          <w:tcPr>
            <w:tcW w:type="dxa" w:w="476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Resultado</w:t>
            </w:r>
          </w:p>
        </w:tc>
      </w:tr>
      <w:tr>
        <w:tc>
          <w:tcPr>
            <w:tcW w:type="dxa" w:w="240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MySQL 8 (con extensiones espaciales)</w:t>
            </w:r>
          </w:p>
        </w:tc>
        <w:tc>
          <w:tcPr>
            <w:tcW w:type="dxa" w:w="220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Soporte espacial</w:t>
            </w:r>
          </w:p>
        </w:tc>
        <w:tc>
          <w:tcPr>
            <w:tcW w:type="dxa" w:w="476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Suficiente: tipos POINT y POLYGON nativos + índices espaciales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MySQL 8 (con extensiones espaciales)</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Costo de hosting</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Bajo: incluido en planes básicos de Railway/Render</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MySQL 8 (con extensiones espaciales)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Curva de aprendizaje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Baja: el equipo tiene experiencia previa</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PostgreSQL + PostGIS</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Soporte espacial</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Superior, pero excede las necesidades del piloto (no se requieren funciones avanzadas de geometría)</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PostgreSQL + PostGIS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Costo de hosting</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Mayor en planes con PostGIS habilitado</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SQLite (solo)</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Concurrencia</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Insuficiente para sincronizar 2 sesiones concurrentes desde móvil y web</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MongoDB</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Soporte espacial</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Bueno (índices 2dsphere), pero introduce paradigma NoSQL innecesario para datos relacionales del DSS</w:t>
            </w:r>
          </w:p>
        </w:tc>
      </w:tr>
    </w:tbl>
    <w:p>
      <w:pPr>
        <w:spacing w:after="120"/>
        <w:jc w:val="both"/>
      </w:pPr>
      <w:r>
        <w:rPr>
          <w:b/>
          <w:bCs/>
        </w:rPr>
        <w:t xml:space="preserve">Decisión: </w:t>
      </w:r>
      <w:r>
        <w:t xml:space="preserve">MySQL 8 con extensiones espaciales. Justificación: el dimensionamiento del piloto (1 cliente, 5 lotes máximo, 2 sesiones concurrentes) está muy por debajo del techo donde PostgreSQL+PostGIS aportaría ventajas; mantener MySQL reduce costo de hosting y curva de aprendizaje sin comprometer las funcionalidades espaciales requeridas.</w:t>
      </w:r>
    </w:p>
    <w:p>
      <w:pPr>
        <w:pStyle w:val="Heading2"/>
        <w:keepNext/>
        <w:spacing w:after="120" w:before="260"/>
      </w:pPr>
      <w:r>
        <w:rPr>
          <w:b/>
          <w:bCs/>
          <w:color w:val="1F4E78"/>
          <w:sz w:val="26"/>
          <w:szCs w:val="26"/>
        </w:rPr>
        <w:t xml:space="preserve">4. Hosting del backend</w:t>
      </w:r>
    </w:p>
    <w:p>
      <w:pPr>
        <w:keepNext/>
        <w:spacing w:after="80" w:before="160"/>
        <w:jc w:val="center"/>
      </w:pPr>
      <w:r>
        <w:rPr>
          <w:b/>
          <w:bCs/>
        </w:rPr>
        <w:t xml:space="preserve">Tabla S.4. </w:t>
      </w:r>
      <w:r>
        <w:rPr>
          <w:i/>
          <w:iCs/>
        </w:rPr>
        <w:t xml:space="preserve">Comparativo de proveedores de hosting evaluados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1700"/>
        <w:gridCol w:w="3060"/>
      </w:tblGrid>
      <w:tr>
        <w:trPr>
          <w:tblHeader/>
        </w:trPr>
        <w:tc>
          <w:tcPr>
            <w:tcW w:type="dxa" w:w="17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Proveedor</w:t>
            </w:r>
          </w:p>
        </w:tc>
        <w:tc>
          <w:tcPr>
            <w:tcW w:type="dxa" w:w="14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Región más cercana</w:t>
            </w:r>
          </w:p>
        </w:tc>
        <w:tc>
          <w:tcPr>
            <w:tcW w:type="dxa" w:w="15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Costo mensual estimado</w:t>
            </w:r>
          </w:p>
        </w:tc>
        <w:tc>
          <w:tcPr>
            <w:tcW w:type="dxa" w:w="17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Latencia desde Bogotá</w:t>
            </w:r>
          </w:p>
        </w:tc>
        <w:tc>
          <w:tcPr>
            <w:tcW w:type="dxa" w:w="306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Observación</w:t>
            </w:r>
          </w:p>
        </w:tc>
      </w:tr>
      <w:tr>
        <w:tc>
          <w:tcPr>
            <w:tcW w:type="dxa" w:w="170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Railway</w:t>
            </w:r>
          </w:p>
        </w:tc>
        <w:tc>
          <w:tcPr>
            <w:tcW w:type="dxa" w:w="140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Brasil (São Paulo)</w:t>
            </w:r>
          </w:p>
        </w:tc>
        <w:tc>
          <w:tcPr>
            <w:tcW w:type="dxa" w:w="150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USD 5–10 (tier base)</w:t>
            </w:r>
          </w:p>
        </w:tc>
        <w:tc>
          <w:tcPr>
            <w:tcW w:type="dxa" w:w="170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~120 ms</w:t>
            </w:r>
          </w:p>
        </w:tc>
        <w:tc>
          <w:tcPr>
            <w:tcW w:type="dxa" w:w="3060"/>
            <w:tcBorders>
              <w:top w:val="single" w:color="BFBFBF" w:sz="4"/>
              <w:left w:val="single" w:color="BFBFBF" w:sz="4"/>
              <w:bottom w:val="single" w:color="BFBFBF" w:sz="4"/>
              <w:right w:val="single" w:color="BFBFBF" w:sz="4"/>
            </w:tcBorders>
            <w:shd w:fill="E7F0F8" w:color="auto" w:val="clear"/>
            <w:tcMar>
              <w:top w:type="dxa" w:w="70"/>
              <w:left w:type="dxa" w:w="100"/>
              <w:bottom w:type="dxa" w:w="70"/>
              <w:right w:type="dxa" w:w="100"/>
            </w:tcMar>
            <w:vAlign w:val="center"/>
          </w:tcPr>
          <w:p>
            <w:pPr>
              <w:spacing w:after="0"/>
              <w:jc w:val="left"/>
            </w:pPr>
            <w:r>
              <w:rPr>
                <w:b/>
                <w:bCs/>
                <w:sz w:val="18"/>
                <w:szCs w:val="18"/>
              </w:rPr>
              <w:t xml:space="preserve">Despliegue por git push; documentación clara; suficiente para el piloto</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Render</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Estados Unidos (Oregon)</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USD 7–15 (tier base)</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~180 ms</w:t>
            </w:r>
          </w:p>
        </w:tc>
        <w:tc>
          <w:tcPr>
            <w:tcW w:type="dxa" w:w="30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Buena alternativa; latencia mayor pero soporte de DBs gestionadas más maduro</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AWS EC2 (t4g.nano)</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Estados Unidos (Virginia)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USD 4–8 + tráfico</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~150 ms</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Costo predecible solo con reserva; configuración requiere más experiencia DevOps</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Google Cloud Run</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Estados Unidos (Iowa)</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USD 0–10 (pay-per-use)</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~170 ms</w:t>
            </w:r>
          </w:p>
        </w:tc>
        <w:tc>
          <w:tcPr>
            <w:tcW w:type="dxa" w:w="30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Atractivo por costo pero exige containerización (Docker) y manejo de cold starts</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DigitalOcean (Droplet)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Estados Unidos (NY)</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USD 6–12</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~190 ms</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Opción razonable pero sin región LATAM</w:t>
            </w:r>
          </w:p>
        </w:tc>
      </w:tr>
    </w:tbl>
    <w:p>
      <w:pPr>
        <w:spacing w:after="120"/>
        <w:jc w:val="both"/>
      </w:pPr>
      <w:r>
        <w:rPr>
          <w:b/>
          <w:bCs/>
        </w:rPr>
        <w:t xml:space="preserve">Decisión: </w:t>
      </w:r>
      <w:r>
        <w:t xml:space="preserve">Railway como proveedor principal (con Render como alternativa si los costos crecen). Justificación: ofrece la menor latencia entre los evaluados (presencia en Brasil), el despliegue más simple (push a git auto-despliega) y un tier base económico apropiado para un cliente único. Render queda como respaldo si en operación se requieren funcionalidades de bases de datos gestionadas más avanzadas.</w:t>
      </w:r>
    </w:p>
    <w:p>
      <w:pPr>
        <w:pStyle w:val="Heading2"/>
        <w:keepNext/>
        <w:spacing w:after="120" w:before="260"/>
      </w:pPr>
      <w:r>
        <w:rPr>
          <w:b/>
          <w:bCs/>
          <w:color w:val="1F4E78"/>
          <w:sz w:val="26"/>
          <w:szCs w:val="26"/>
        </w:rPr>
        <w:t xml:space="preserve">5. Otros componentes del stack</w:t>
      </w:r>
    </w:p>
    <w:p>
      <w:pPr>
        <w:spacing w:after="120"/>
        <w:jc w:val="both"/>
      </w:pPr>
      <w:r>
        <w:t xml:space="preserve">Los componentes restantes (web complementaria, ORM, almacenamiento offline, mapas, autenticación) se decidieron con un análisis más breve por estar directamente condicionados por las elecciones anteriores. La Tabla S.5 resume estas decisiones.</w:t>
      </w:r>
    </w:p>
    <w:p>
      <w:pPr>
        <w:keepNext/>
        <w:spacing w:after="80" w:before="160"/>
        <w:jc w:val="center"/>
      </w:pPr>
      <w:r>
        <w:rPr>
          <w:b/>
          <w:bCs/>
        </w:rPr>
        <w:t xml:space="preserve">Tabla S.5. </w:t>
      </w:r>
      <w:r>
        <w:rPr>
          <w:i/>
          <w:iCs/>
        </w:rPr>
        <w:t xml:space="preserve">Resumen de otras decisiones 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Componente</w:t>
            </w:r>
          </w:p>
        </w:tc>
        <w:tc>
          <w:tcPr>
            <w:tcW w:type="dxa" w:w="24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Tecnología elegida</w:t>
            </w:r>
          </w:p>
        </w:tc>
        <w:tc>
          <w:tcPr>
            <w:tcW w:type="dxa" w:w="486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Razón principal</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Web complementaria</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React + Vite + Tailwind</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Reutiliza componentes de React Native Web; Vite reduce tiempo de build frente a Next.js, que no se justifica sin SSR para una app interna</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ORM</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SQLAlchemy + Alembic</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Estándar de facto en Python; desacoplado del framework web; Alembic maneja migraciones complejas con buen soporte de versionado</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Almacenamiento offline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SQLite vía Expo SQLite</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Estándar en apps móviles; integración nativa con Expo; compatible con SQLAlchemy en el motor de cálculo del servidor (mismo dialecto)</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Mapas</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Mapbox GL + RN Maps</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Mejor soporte de capas GeoJSON personalizadas (drenajes IGAC) que Google Maps; tier gratuito de 50 000 cargas/mes cubre el piloto</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Autenticación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JWT + OAuth2 (Google)</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Reduce fricción de registro para usuarios con poca familiaridad digital; el respaldo de Google evita gestionar contraseñas localmente</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Generación de reportes</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ReportLab (PDF) + openpyxl (Excel)</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Librerías Python maduras, gratuitas y bien documentadas; integración directa con el motor de cálculo</w:t>
            </w:r>
          </w:p>
        </w:tc>
      </w:tr>
    </w:tbl>
    <w:p>
      <w:pPr>
        <w:pStyle w:val="Heading2"/>
        <w:keepNext/>
        <w:spacing w:after="120" w:before="260"/>
      </w:pPr>
      <w:r>
        <w:rPr>
          <w:b/>
          <w:bCs/>
          <w:color w:val="1F4E78"/>
          <w:sz w:val="26"/>
          <w:szCs w:val="26"/>
        </w:rPr>
        <w:t xml:space="preserve">6. Estimación de costos operativos mensuales</w:t>
      </w:r>
    </w:p>
    <w:p>
      <w:pPr>
        <w:spacing w:after="120"/>
        <w:jc w:val="both"/>
      </w:pPr>
      <w:r>
        <w:t xml:space="preserve">La suma de los costos mensuales del stack tecnológico, para el dimensionamiento del piloto (1 cliente, 3 usuarios, hasta 12 fumigaciones por temporada), se estima en el siguiente rango:</w:t>
      </w:r>
    </w:p>
    <w:p>
      <w:pPr>
        <w:keepNext/>
        <w:spacing w:after="80" w:before="160"/>
        <w:jc w:val="center"/>
      </w:pPr>
      <w:r>
        <w:rPr>
          <w:b/>
          <w:bCs/>
        </w:rPr>
        <w:t xml:space="preserve">Tabla S.6. </w:t>
      </w:r>
      <w:r>
        <w:rPr>
          <w:i/>
          <w:iCs/>
        </w:rPr>
        <w:t xml:space="preserve">Costos operativos mensuales estimados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Componente</w:t>
            </w:r>
          </w:p>
        </w:tc>
        <w:tc>
          <w:tcPr>
            <w:tcW w:type="dxa" w:w="220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Costo mensual (USD)</w:t>
            </w:r>
          </w:p>
        </w:tc>
        <w:tc>
          <w:tcPr>
            <w:tcW w:type="dxa" w:w="3660"/>
            <w:tcBorders>
              <w:top w:val="single" w:color="BFBFBF" w:sz="4"/>
              <w:left w:val="single" w:color="BFBFBF" w:sz="4"/>
              <w:bottom w:val="single" w:color="BFBFBF" w:sz="4"/>
              <w:right w:val="single" w:color="BFBFBF" w:sz="4"/>
            </w:tcBorders>
            <w:shd w:fill="1F4E78" w:color="auto" w:val="clear"/>
            <w:tcMar>
              <w:top w:type="dxa" w:w="80"/>
              <w:left w:type="dxa" w:w="100"/>
              <w:bottom w:type="dxa" w:w="80"/>
              <w:right w:type="dxa" w:w="100"/>
            </w:tcMar>
            <w:vAlign w:val="center"/>
          </w:tcPr>
          <w:p>
            <w:pPr>
              <w:jc w:val="center"/>
            </w:pPr>
            <w:r>
              <w:rPr>
                <w:b/>
                <w:bCs/>
                <w:color w:val="FFFFFF"/>
                <w:sz w:val="18"/>
                <w:szCs w:val="18"/>
              </w:rPr>
              <w:t xml:space="preserve">Notas</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Hosting Railway (backend + BD MySQL)</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5 – 10</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Tier base con BD gestionada incluida</w:t>
            </w:r>
          </w:p>
        </w:tc>
      </w:tr>
      <w:tr>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Dominio y DNS</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1 – 2</w:t>
            </w:r>
          </w:p>
        </w:tc>
        <w:tc>
          <w:tcPr>
            <w:tcW w:type="dxa" w:w="36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Renovación anual prorrateada (~12–15 USD/año)</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Mapbox GL (cargas de mapas)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0</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Dentro del tier gratuito para el volumen del piloto</w:t>
            </w:r>
          </w:p>
        </w:tc>
      </w:tr>
      <w:tr>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Open-Meteo (API climática)</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0</w:t>
            </w:r>
          </w:p>
        </w:tc>
        <w:tc>
          <w:tcPr>
            <w:tcW w:type="dxa" w:w="36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Plan no comercial gratuito</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IDEAM (API respaldo)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0</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Servicio público gratuito</w:t>
            </w:r>
          </w:p>
        </w:tc>
      </w:tr>
      <w:tr>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Capas IGAC</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0</w:t>
            </w:r>
          </w:p>
        </w:tc>
        <w:tc>
          <w:tcPr>
            <w:tcW w:type="dxa" w:w="36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Datos abiertos del gobierno colombiano</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Google Sign-In (autenticación)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0</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Gratuito para volúmenes pequeños</w:t>
            </w:r>
          </w:p>
        </w:tc>
      </w:tr>
      <w:tr>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Almacenamiento de respaldos</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1 – 3</w:t>
            </w:r>
          </w:p>
        </w:tc>
        <w:tc>
          <w:tcPr>
            <w:tcW w:type="dxa" w:w="36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Snapshots de BD cada 24 h durante 30 días</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Total estimado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7 – 15 USD/mes</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Aproximadamente 28 000 – 60 000 COP mensuales</w:t>
            </w:r>
          </w:p>
        </w:tc>
      </w:tr>
    </w:tbl>
    <w:p>
      <w:pPr>
        <w:spacing w:after="120"/>
        <w:jc w:val="both"/>
      </w:pPr>
      <w:r>
        <w:t xml:space="preserve">Este costo operativo es marginal comparado con el costo del servicio tercerizado de fumigación (130 000 – 260 000 COP por hectárea según Grupo Acre, 2026), lo que valida la viabilidad económica de AgroSmart como herramienta complementaria al proceso productivo del cliente. El costo se mantiene predecible aun cuando se agreguen lotes adicionales del mismo agricultor, ya que el dimensionamiento del backend está ampliamente sobredimensionado para el piloto.</w:t>
      </w:r>
    </w:p>
    <w:p>
      <w:pPr>
        <w:pStyle w:val="Heading2"/>
        <w:keepNext/>
        <w:spacing w:after="120" w:before="260"/>
      </w:pPr>
      <w:r>
        <w:rPr>
          <w:b/>
          <w:bCs/>
          <w:color w:val="1F4E78"/>
          <w:sz w:val="26"/>
          <w:szCs w:val="26"/>
        </w:rPr>
        <w:t xml:space="preserve">Resumen del anexo</w:t>
      </w:r>
    </w:p>
    <w:p>
      <w:pPr>
        <w:spacing w:after="120"/>
        <w:jc w:val="both"/>
      </w:pPr>
      <w:r>
        <w:t xml:space="preserve">Las decisiones del stack tecnológico se sustentan en cinco criterios transversales y, para cada componente crítico, en un comparativo explícito de alternativas. El costo operativo mensual estimado se sitúa entre 7 y 15 USD, lo que valida la viabilidad económica de la solución para un cliente único. Las elecciones priorizan la reutilización de código (móvil-web), la integración natural entre el motor de cálculo y el backend, y el ajuste al tamaño del proyecto, evitando sobre-ingeniería para un piloto de pocas hectáreas.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4E78"/>
      <w:sz w:val="30"/>
      <w:szCs w:val="30"/>
    </w:rPr>
  </w:style>
  <w:style w:type="paragraph" w:styleId="Heading2">
    <w:name w:val="Heading 2"/>
    <w:basedOn w:val="Normal"/>
    <w:next w:val="Normal"/>
    <w:qFormat/>
    <w:pPr>
      <w:spacing w:after="140" w:before="220"/>
      <w:outlineLvl w:val="1"/>
    </w:pPr>
    <w:rPr>
      <w:rFonts w:ascii="Calibri" w:cs="Calibri" w:eastAsia="Calibri" w:hAnsi="Calibri"/>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Justificacion del stack tecnologico</dc:title>
  <dc:creator>AgroSmart - Equipo 4 PII</dc:creator>
  <cp:lastModifiedBy>Un-named</cp:lastModifiedBy>
  <cp:revision>1</cp:revision>
  <dcterms:created xsi:type="dcterms:W3CDTF">2026-05-14T02:28:38.863Z</dcterms:created>
  <dcterms:modified xsi:type="dcterms:W3CDTF">2026-05-14T02:28:38.864Z</dcterms:modified>
</cp:coreProperties>
</file>

<file path=docProps/custom.xml><?xml version="1.0" encoding="utf-8"?>
<Properties xmlns="http://schemas.openxmlformats.org/officeDocument/2006/custom-properties" xmlns:vt="http://schemas.openxmlformats.org/officeDocument/2006/docPropsVTypes"/>
</file>