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b/>
          <w:bCs/>
          <w:color w:val="1F4E78"/>
          <w:sz w:val="32"/>
          <w:szCs w:val="32"/>
        </w:rPr>
        <w:t xml:space="preserve">Anexo N°X — Especificación detallada de los módulos de AgroSmart</w:t>
      </w:r>
    </w:p>
    <w:p>
      <w:pPr>
        <w:pStyle w:val="Heading2"/>
        <w:spacing w:after="120" w:before="160"/>
      </w:pPr>
      <w:r>
        <w:rPr>
          <w:b/>
          <w:bCs/>
          <w:color w:val="1F4E78"/>
          <w:sz w:val="28"/>
          <w:szCs w:val="28"/>
        </w:rPr>
        <w:t xml:space="preserve">Propósito y convenciones del anexo</w:t>
      </w:r>
    </w:p>
    <w:p>
      <w:pPr>
        <w:spacing w:after="120"/>
        <w:jc w:val="both"/>
      </w:pPr>
      <w:r>
        <w:rPr>
          <w:b/>
          <w:bCs/>
        </w:rPr>
        <w:t xml:space="preserve">Propósito. </w:t>
      </w:r>
      <w:r>
        <w:t xml:space="preserve">Este anexo desarrolla la especificación funcional de cada uno de los seis módulos que componen AgroSmart, complementando el resumen presentado en la Tabla X de la sección 8.3.4. Para cada módulo se documentan: las entradas con tipo de dato y reglas de validación, el proceso interno (incluyendo fórmulas matemáticas y reglas IF-THEN cuando aplica), las salidas, las fuentes de datos consumidas, el manejo de errores y el criterio de aceptación del módulo.</w:t>
      </w:r>
    </w:p>
    <w:p>
      <w:pPr>
        <w:spacing w:after="120"/>
        <w:jc w:val="both"/>
      </w:pPr>
      <w:r>
        <w:rPr>
          <w:b/>
          <w:bCs/>
        </w:rPr>
        <w:t xml:space="preserve">Convenciones empleadas. </w:t>
      </w:r>
      <w:r>
        <w:t xml:space="preserve">Los tipos de dato siguen notación estándar de programación (int, float, string, bool, datetime, geojson). Las reglas IF-THEN se escriben en pseudocódigo legible. Las fórmulas matemáticas se presentan con su notación algebraica y la unidad de cada variable explícita.</w:t>
      </w:r>
    </w:p>
    <w:p>
      <w:pPr>
        <w:pStyle w:val="Heading3"/>
        <w:keepNext/>
        <w:spacing w:after="140" w:before="280"/>
      </w:pPr>
      <w:r>
        <w:rPr>
          <w:b/>
          <w:bCs/>
          <w:color w:val="1F4E78"/>
          <w:sz w:val="26"/>
          <w:szCs w:val="26"/>
        </w:rPr>
        <w:t xml:space="preserve">Módulo 1 — Ingreso y validación de datos</w:t>
      </w:r>
    </w:p>
    <w:p>
      <w:pPr>
        <w:spacing w:after="120"/>
        <w:jc w:val="both"/>
      </w:pPr>
      <w:r>
        <w:rPr>
          <w:b/>
          <w:bCs/>
        </w:rPr>
        <w:t xml:space="preserve">Propósito. </w:t>
      </w:r>
      <w:r>
        <w:t xml:space="preserve">Capturar los parámetros de la sesión de fumigación, autenticar al usuario según su rol y verificar que los datos sean consistentes antes de enviarlos al motor de cálculo.</w:t>
      </w:r>
    </w:p>
    <w:p>
      <w:pPr>
        <w:spacing w:after="80" w:before="100"/>
      </w:pPr>
      <w:r>
        <w:rPr>
          <w:b/>
          <w:bCs/>
        </w:rPr>
        <w:t xml:space="preserve">Entradas.</w:t>
      </w:r>
    </w:p>
    <w:p>
      <w:pPr>
        <w:keepNext/>
        <w:spacing w:after="80" w:before="160"/>
        <w:jc w:val="center"/>
      </w:pPr>
      <w:r>
        <w:rPr>
          <w:b/>
          <w:bCs/>
        </w:rPr>
        <w:t xml:space="preserve">Tabla M1.1. </w:t>
      </w:r>
      <w:r>
        <w:rPr>
          <w:i/>
          <w:iCs/>
        </w:rPr>
        <w:t xml:space="preserve">Entradas del módulo de ingreso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4300"/>
        <w:gridCol w:w="1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vAlign w:val="center"/>
          </w:tcPr>
          <w:p>
            <w:pPr>
              <w:jc w:val="center"/>
            </w:pPr>
            <w:r>
              <w:rPr>
                <w:b/>
                <w:bCs/>
                <w:color w:val="FFFFFF"/>
              </w:rPr>
              <w:t xml:space="preserve">Variable</w:t>
            </w:r>
          </w:p>
        </w:tc>
        <w:tc>
          <w:tcPr>
            <w:tcW w:type="dxa" w:w="11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vAlign w:val="center"/>
          </w:tcPr>
          <w:p>
            <w:pPr>
              <w:jc w:val="center"/>
            </w:pPr>
            <w:r>
              <w:rPr>
                <w:b/>
                <w:bCs/>
                <w:color w:val="FFFFFF"/>
              </w:rPr>
              <w:t xml:space="preserve">Tipo</w:t>
            </w:r>
          </w:p>
        </w:tc>
        <w:tc>
          <w:tcPr>
            <w:tcW w:type="dxa" w:w="43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vAlign w:val="center"/>
          </w:tcPr>
          <w:p>
            <w:pPr>
              <w:jc w:val="center"/>
            </w:pPr>
            <w:r>
              <w:rPr>
                <w:b/>
                <w:bCs/>
                <w:color w:val="FFFFFF"/>
              </w:rPr>
              <w:t xml:space="preserve">Reglas de validación</w:t>
            </w:r>
          </w:p>
        </w:tc>
        <w:tc>
          <w:tcPr>
            <w:tcW w:type="dxa" w:w="176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vAlign w:val="center"/>
          </w:tcPr>
          <w:p>
            <w:pPr>
              <w:jc w:val="center"/>
            </w:pPr>
            <w:r>
              <w:rPr>
                <w:b/>
                <w:bCs/>
                <w:color w:val="FFFFFF"/>
              </w:rPr>
              <w:t xml:space="preserve">Origen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area_lote (ha)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float</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&gt; 0; ≤ 50 ha (límite del piloto)</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Usuario</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coordenadas_gps</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(float, float)</w:t>
            </w:r>
          </w:p>
        </w:tc>
        <w:tc>
          <w:tcPr>
            <w:tcW w:type="dxa" w:w="4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latitud ∈ [−90, 90]; longitud ∈ [−180, 180]; HDOP &lt; 5</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Dispositivo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producto_id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string</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Debe existir en la base interna de productos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Selector</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dosis_planeada</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float</w:t>
            </w:r>
          </w:p>
        </w:tc>
        <w:tc>
          <w:tcPr>
            <w:tcW w:type="dxa" w:w="4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&gt; 0; unidad coherente con la ficha del producto</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Usuario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volumen_total_objetivo (L)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float</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&gt; 0; ≤ 5 × capacidad_tanque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Usuario</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capacidad_tanque (L)</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float</w:t>
            </w:r>
          </w:p>
        </w:tc>
        <w:tc>
          <w:tcPr>
            <w:tcW w:type="dxa" w:w="4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&gt; 0; por defecto 40 L (DJI Agras T40)</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Configuración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usuario_id y rol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string</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Rol ∈ {agricultor, supervisor, operador}</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Sesión autenticada</w:t>
            </w:r>
          </w:p>
        </w:tc>
      </w:tr>
    </w:tbl>
    <w:p>
      <w:pPr>
        <w:spacing w:after="120"/>
        <w:jc w:val="both"/>
      </w:pPr>
      <w:r>
        <w:rPr>
          <w:b/>
          <w:bCs/>
        </w:rPr>
        <w:t xml:space="preserve">Proceso. </w:t>
      </w:r>
      <w:r>
        <w:t xml:space="preserve">El módulo ejecuta tres operaciones secuenciales: (1) validación de campos obligatorios y rangos, devolviendo error si alguno falla; (2) georreferenciación del lote (consulta inversa para confirmar municipio y vereda); (3) aplicación de control RBAC, verificando que el rol del usuario tenga permiso para crear la sesión.</w:t>
      </w:r>
    </w:p>
    <w:p>
      <w:pPr>
        <w:spacing w:after="80" w:before="100"/>
      </w:pPr>
      <w:r>
        <w:rPr>
          <w:b/>
          <w:bCs/>
        </w:rPr>
        <w:t xml:space="preserve">Reglas IF-THEN aplicadas.</w:t>
      </w:r>
    </w:p>
    <w:p>
      <w:pPr>
        <w:shd w:fill="F5F5F5" w:color="auto" w:val="clear"/>
        <w:spacing w:after="0" w:line="240"/>
        <w:ind w:left="360"/>
      </w:pPr>
      <w:r>
        <w:rPr>
          <w:rFonts w:ascii="Consolas" w:cs="Consolas" w:eastAsia="Consolas" w:hAnsi="Consolas"/>
          <w:sz w:val="18"/>
          <w:szCs w:val="18"/>
        </w:rPr>
        <w:t xml:space="preserve">SI area_lote ≤ 0 O area_lote &gt; 50</w:t>
      </w:r>
    </w:p>
    <w:p>
      <w:pPr>
        <w:shd w:fill="F5F5F5" w:color="auto" w:val="clear"/>
        <w:spacing w:after="0" w:line="240"/>
        <w:ind w:left="360"/>
      </w:pPr>
      <w:r>
        <w:rPr>
          <w:rFonts w:ascii="Consolas" w:cs="Consolas" w:eastAsia="Consolas" w:hAnsi="Consolas"/>
          <w:sz w:val="18"/>
          <w:szCs w:val="18"/>
        </w:rPr>
        <w:t xml:space="preserve">   ENTONCES rechazar con mensaje "Área fuera del rango operativo"</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SI HDOP_gps ≥ 5</w:t>
      </w:r>
    </w:p>
    <w:p>
      <w:pPr>
        <w:shd w:fill="F5F5F5" w:color="auto" w:val="clear"/>
        <w:spacing w:after="0" w:line="240"/>
        <w:ind w:left="360"/>
      </w:pPr>
      <w:r>
        <w:rPr>
          <w:rFonts w:ascii="Consolas" w:cs="Consolas" w:eastAsia="Consolas" w:hAnsi="Consolas"/>
          <w:sz w:val="18"/>
          <w:szCs w:val="18"/>
        </w:rPr>
        <w:t xml:space="preserve">   ENTONCES advertir y ofrecer trazado manual del polígono</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SI rol = "agricultor" Y operación = "crear_sesion"</w:t>
      </w:r>
    </w:p>
    <w:p>
      <w:pPr>
        <w:shd w:fill="F5F5F5" w:color="auto" w:val="clear"/>
        <w:spacing w:after="0" w:line="240"/>
        <w:ind w:left="360"/>
      </w:pPr>
      <w:r>
        <w:rPr>
          <w:rFonts w:ascii="Consolas" w:cs="Consolas" w:eastAsia="Consolas" w:hAnsi="Consolas"/>
          <w:sz w:val="18"/>
          <w:szCs w:val="18"/>
        </w:rPr>
        <w:t xml:space="preserve">   ENTONCES bloquear (solo supervisor u operador pueden crear sesión)</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SI producto_id no existe en base interna</w:t>
      </w:r>
    </w:p>
    <w:p>
      <w:pPr>
        <w:shd w:fill="F5F5F5" w:color="auto" w:val="clear"/>
        <w:spacing w:after="0" w:line="240"/>
        <w:ind w:left="360"/>
      </w:pPr>
      <w:r>
        <w:rPr>
          <w:rFonts w:ascii="Consolas" w:cs="Consolas" w:eastAsia="Consolas" w:hAnsi="Consolas"/>
          <w:sz w:val="18"/>
          <w:szCs w:val="18"/>
        </w:rPr>
        <w:t xml:space="preserve">   ENTONCES ofrecer registro manual con confirmación de supervisor</w:t>
      </w:r>
    </w:p>
    <w:p>
      <w:pPr>
        <w:spacing w:after="60"/>
      </w:pPr>
      <w:r>
        <w:t xml:space="preserve"/>
      </w:r>
    </w:p>
    <w:p>
      <w:pPr>
        <w:spacing w:after="120"/>
        <w:jc w:val="both"/>
      </w:pPr>
      <w:r>
        <w:rPr>
          <w:b/>
          <w:bCs/>
        </w:rPr>
        <w:t xml:space="preserve">Salidas. </w:t>
      </w:r>
      <w:r>
        <w:t xml:space="preserve">Objeto sesion estructurado con todos los campos validados, identificador único de sesión (UUID), timestamp de creación y referencia al usuario que la creó.</w:t>
      </w:r>
    </w:p>
    <w:p>
      <w:pPr>
        <w:spacing w:after="120"/>
        <w:jc w:val="both"/>
      </w:pPr>
      <w:r>
        <w:rPr>
          <w:b/>
          <w:bCs/>
        </w:rPr>
        <w:t xml:space="preserve">Fuentes de datos. </w:t>
      </w:r>
      <w:r>
        <w:t xml:space="preserve">Base local SQLite (productos), API de geolocalización del dispositivo, servicio de autenticación interno (JWT).</w:t>
      </w:r>
    </w:p>
    <w:p>
      <w:pPr>
        <w:spacing w:after="120"/>
        <w:jc w:val="both"/>
      </w:pPr>
      <w:r>
        <w:rPr>
          <w:b/>
          <w:bCs/>
        </w:rPr>
        <w:t xml:space="preserve">Manejo de errores. </w:t>
      </w:r>
      <w:r>
        <w:t xml:space="preserve">Errores de validación se muestran en línea junto al campo afectado; errores de conexión al servicio de autenticación abren el flujo de sesión local con sincronización diferida. Si el GPS no entrega coordenada en 10 segundos, el módulo ofrece trazado manual del polígono sobre el mapa.</w:t>
      </w:r>
    </w:p>
    <w:p>
      <w:pPr>
        <w:spacing w:after="120"/>
        <w:jc w:val="both"/>
      </w:pPr>
      <w:r>
        <w:rPr>
          <w:b/>
          <w:bCs/>
        </w:rPr>
        <w:t xml:space="preserve">Criterio de aceptación. </w:t>
      </w:r>
      <w:r>
        <w:t xml:space="preserve">El 100 % de los campos obligatorios se validan antes de permitir avanzar al módulo 2; el RBAC bloquea correctamente las acciones no permitidas por rol en las 9 funcionalidades de la matriz de permisos (sec. 8.3.5).</w:t>
      </w:r>
    </w:p>
    <w:p>
      <w:pPr>
        <w:pStyle w:val="Heading3"/>
        <w:keepNext/>
        <w:spacing w:after="140" w:before="280"/>
      </w:pPr>
      <w:r>
        <w:rPr>
          <w:b/>
          <w:bCs/>
          <w:color w:val="1F4E78"/>
          <w:sz w:val="26"/>
          <w:szCs w:val="26"/>
        </w:rPr>
        <w:t xml:space="preserve">Módulo 2 — Cálculo de mezcla y volumen</w:t>
      </w:r>
    </w:p>
    <w:p>
      <w:pPr>
        <w:spacing w:after="120"/>
        <w:jc w:val="both"/>
      </w:pPr>
      <w:r>
        <w:rPr>
          <w:b/>
          <w:bCs/>
        </w:rPr>
        <w:t xml:space="preserve">Propósito. </w:t>
      </w:r>
      <w:r>
        <w:t xml:space="preserve">Calcular la dosis exacta de cada producto, el volumen de agua necesario para lograr la concentración recomendada, la carga química resultante y el orden de adición de los productos en el tanque.</w:t>
      </w:r>
    </w:p>
    <w:p>
      <w:pPr>
        <w:spacing w:after="120"/>
        <w:jc w:val="both"/>
      </w:pPr>
      <w:r>
        <w:rPr>
          <w:b/>
          <w:bCs/>
        </w:rPr>
        <w:t xml:space="preserve">Entradas. </w:t>
      </w:r>
      <w:r>
        <w:t xml:space="preserve">Salida del módulo 1 + ficha técnica del producto (rangos de dosis de etiqueta, unidad declarada, compatibilidades químicas).</w:t>
      </w:r>
    </w:p>
    <w:p>
      <w:pPr>
        <w:spacing w:after="120"/>
        <w:jc w:val="both"/>
      </w:pPr>
      <w:r>
        <w:rPr>
          <w:b/>
          <w:bCs/>
        </w:rPr>
        <w:t xml:space="preserve">Proceso matemático. </w:t>
      </w:r>
      <w:r>
        <w:t xml:space="preserve">El módulo invierte la lógica empírica del operador: en lugar de partir del volumen de agua disponible y agregar productos, parte de la dosis del producto y calcula el volumen necesario para alcanzar la concentración correcta.</w:t>
      </w:r>
    </w:p>
    <w:p>
      <w:pPr>
        <w:spacing w:after="80" w:before="120"/>
      </w:pPr>
      <w:r>
        <w:rPr>
          <w:b/>
          <w:bCs/>
        </w:rPr>
        <w:t xml:space="preserve">Fórmulas principales:</w:t>
      </w:r>
    </w:p>
    <w:p>
      <w:pPr>
        <w:spacing w:after="120"/>
        <w:jc w:val="both"/>
      </w:pPr>
      <w:r>
        <w:t xml:space="preserve">(1) Dosis total del producto en el lote:</w:t>
      </w:r>
    </w:p>
    <w:p>
      <w:pPr>
        <w:spacing w:after="40" w:before="80"/>
        <w:jc w:val="center"/>
      </w:pPr>
      <w:r>
        <w:rPr>
          <w:b/>
          <w:bCs/>
        </w:rPr>
        <w:t xml:space="preserve">  </w:t>
      </w:r>
      <w:r>
        <w:rPr>
          <w:rFonts w:ascii="Cambria Math" w:cs="Cambria Math" w:eastAsia="Cambria Math" w:hAnsi="Cambria Math"/>
          <w:i/>
          <w:iCs/>
          <w:sz w:val="24"/>
          <w:szCs w:val="24"/>
        </w:rPr>
        <w:t xml:space="preserve">D_total = D_recomendada × A_lote</w:t>
      </w:r>
    </w:p>
    <w:p>
      <w:pPr>
        <w:spacing w:after="120"/>
        <w:jc w:val="center"/>
      </w:pPr>
      <w:r>
        <w:rPr>
          <w:i/>
          <w:iCs/>
          <w:color w:val="595959"/>
          <w:sz w:val="18"/>
          <w:szCs w:val="18"/>
        </w:rPr>
        <w:t xml:space="preserve">donde D_recomendada es la dosis de etiqueta (L/ha) y A_lote el área del lote (ha). Resultado en litros.</w:t>
      </w:r>
    </w:p>
    <w:p>
      <w:pPr>
        <w:spacing w:after="120"/>
        <w:jc w:val="both"/>
      </w:pPr>
      <w:r>
        <w:t xml:space="preserve">(2) Concentración resultante en la mezcla (para productos con unidad ml/L):</w:t>
      </w:r>
    </w:p>
    <w:p>
      <w:pPr>
        <w:spacing w:after="40" w:before="80"/>
        <w:jc w:val="center"/>
      </w:pPr>
      <w:r>
        <w:rPr>
          <w:b/>
          <w:bCs/>
        </w:rPr>
        <w:t xml:space="preserve">  </w:t>
      </w:r>
      <w:r>
        <w:rPr>
          <w:rFonts w:ascii="Cambria Math" w:cs="Cambria Math" w:eastAsia="Cambria Math" w:hAnsi="Cambria Math"/>
          <w:i/>
          <w:iCs/>
          <w:sz w:val="24"/>
          <w:szCs w:val="24"/>
        </w:rPr>
        <w:t xml:space="preserve">C (ml/L) = (D_total × 1000) / V_total_mezcla</w:t>
      </w:r>
    </w:p>
    <w:p>
      <w:pPr>
        <w:spacing w:after="120"/>
        <w:jc w:val="center"/>
      </w:pPr>
      <w:r>
        <w:rPr>
          <w:i/>
          <w:iCs/>
          <w:color w:val="595959"/>
          <w:sz w:val="18"/>
          <w:szCs w:val="18"/>
        </w:rPr>
        <w:t xml:space="preserve">donde V_total_mezcla es el volumen total objetivo (L). Resultado en ml/L.</w:t>
      </w:r>
    </w:p>
    <w:p>
      <w:pPr>
        <w:spacing w:after="120"/>
        <w:jc w:val="both"/>
      </w:pPr>
      <w:r>
        <w:t xml:space="preserve">(3) Volumen de agua necesario para alcanzar una concentración objetivo C_obj:</w:t>
      </w:r>
    </w:p>
    <w:p>
      <w:pPr>
        <w:spacing w:after="40" w:before="80"/>
        <w:jc w:val="center"/>
      </w:pPr>
      <w:r>
        <w:rPr>
          <w:b/>
          <w:bCs/>
        </w:rPr>
        <w:t xml:space="preserve">  </w:t>
      </w:r>
      <w:r>
        <w:rPr>
          <w:rFonts w:ascii="Cambria Math" w:cs="Cambria Math" w:eastAsia="Cambria Math" w:hAnsi="Cambria Math"/>
          <w:i/>
          <w:iCs/>
          <w:sz w:val="24"/>
          <w:szCs w:val="24"/>
        </w:rPr>
        <w:t xml:space="preserve">V_agua = (D_total × 1000) / C_obj − Σ V_productos</w:t>
      </w:r>
    </w:p>
    <w:p>
      <w:pPr>
        <w:spacing w:after="120"/>
        <w:jc w:val="center"/>
      </w:pPr>
      <w:r>
        <w:rPr>
          <w:i/>
          <w:iCs/>
          <w:color w:val="595959"/>
          <w:sz w:val="18"/>
          <w:szCs w:val="18"/>
        </w:rPr>
        <w:t xml:space="preserve">donde la sumatoria corresponde al volumen aportado por todos los productos de la mezcla.</w:t>
      </w:r>
    </w:p>
    <w:p>
      <w:pPr>
        <w:spacing w:after="120"/>
        <w:jc w:val="both"/>
      </w:pPr>
      <w:r>
        <w:t xml:space="preserve">(4) Carga química total como porcentaje del tanque:</w:t>
      </w:r>
    </w:p>
    <w:p>
      <w:pPr>
        <w:spacing w:after="40" w:before="80"/>
        <w:jc w:val="center"/>
      </w:pPr>
      <w:r>
        <w:rPr>
          <w:b/>
          <w:bCs/>
        </w:rPr>
        <w:t xml:space="preserve">  </w:t>
      </w:r>
      <w:r>
        <w:rPr>
          <w:rFonts w:ascii="Cambria Math" w:cs="Cambria Math" w:eastAsia="Cambria Math" w:hAnsi="Cambria Math"/>
          <w:i/>
          <w:iCs/>
          <w:sz w:val="24"/>
          <w:szCs w:val="24"/>
        </w:rPr>
        <w:t xml:space="preserve">Carga_Q (%) = (Σ V_productos / V_tanque) × 100</w:t>
      </w:r>
    </w:p>
    <w:p>
      <w:pPr>
        <w:spacing w:after="120"/>
        <w:jc w:val="both"/>
      </w:pPr>
      <w:r>
        <w:rPr>
          <w:b/>
          <w:bCs/>
        </w:rPr>
        <w:t xml:space="preserve">Orden de adición de productos. </w:t>
      </w:r>
      <w:r>
        <w:t xml:space="preserve">El módulo aplica la regla mnemotécnica W-A-L-E-S (Wettable powders → Agitated solutions → Liquid flowables → Emulsifiable concentrates → Surfactants), adaptada al inventario inicial de 5 productos. Para AGROTIN (coadyuvante) el orden es: añadir al final, después de los herbicidas e insecticidas.</w:t>
      </w:r>
    </w:p>
    <w:p>
      <w:pPr>
        <w:spacing w:after="80" w:before="140"/>
      </w:pPr>
      <w:r>
        <w:rPr>
          <w:b/>
          <w:bCs/>
        </w:rPr>
        <w:t xml:space="preserve">Ejemplo numérico (caso AGROTIN, 8 ha).</w:t>
      </w:r>
    </w:p>
    <w:p>
      <w:pPr>
        <w:shd w:fill="F5F5F5" w:color="auto" w:val="clear"/>
        <w:spacing w:after="0" w:line="240"/>
        <w:ind w:left="360"/>
      </w:pPr>
      <w:r>
        <w:rPr>
          <w:rFonts w:ascii="Consolas" w:cs="Consolas" w:eastAsia="Consolas" w:hAnsi="Consolas"/>
          <w:sz w:val="18"/>
          <w:szCs w:val="18"/>
        </w:rPr>
        <w:t xml:space="preserve">Entradas:</w:t>
      </w:r>
    </w:p>
    <w:p>
      <w:pPr>
        <w:shd w:fill="F5F5F5" w:color="auto" w:val="clear"/>
        <w:spacing w:after="0" w:line="240"/>
        <w:ind w:left="360"/>
      </w:pPr>
      <w:r>
        <w:rPr>
          <w:rFonts w:ascii="Consolas" w:cs="Consolas" w:eastAsia="Consolas" w:hAnsi="Consolas"/>
          <w:sz w:val="18"/>
          <w:szCs w:val="18"/>
        </w:rPr>
        <w:t xml:space="preserve">  area_lote               = 8 ha</w:t>
      </w:r>
    </w:p>
    <w:p>
      <w:pPr>
        <w:shd w:fill="F5F5F5" w:color="auto" w:val="clear"/>
        <w:spacing w:after="0" w:line="240"/>
        <w:ind w:left="360"/>
      </w:pPr>
      <w:r>
        <w:rPr>
          <w:rFonts w:ascii="Consolas" w:cs="Consolas" w:eastAsia="Consolas" w:hAnsi="Consolas"/>
          <w:sz w:val="18"/>
          <w:szCs w:val="18"/>
        </w:rPr>
        <w:t xml:space="preserve">  dosis_AGROTIN           = 0.25 L/ha (etiqueta)</w:t>
      </w:r>
    </w:p>
    <w:p>
      <w:pPr>
        <w:shd w:fill="F5F5F5" w:color="auto" w:val="clear"/>
        <w:spacing w:after="0" w:line="240"/>
        <w:ind w:left="360"/>
      </w:pPr>
      <w:r>
        <w:rPr>
          <w:rFonts w:ascii="Consolas" w:cs="Consolas" w:eastAsia="Consolas" w:hAnsi="Consolas"/>
          <w:sz w:val="18"/>
          <w:szCs w:val="18"/>
        </w:rPr>
        <w:t xml:space="preserve">  concentración_objetivo  = 10 ml/L  (máximo de etiqueta)</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Cálculo:</w:t>
      </w:r>
    </w:p>
    <w:p>
      <w:pPr>
        <w:shd w:fill="F5F5F5" w:color="auto" w:val="clear"/>
        <w:spacing w:after="0" w:line="240"/>
        <w:ind w:left="360"/>
      </w:pPr>
      <w:r>
        <w:rPr>
          <w:rFonts w:ascii="Consolas" w:cs="Consolas" w:eastAsia="Consolas" w:hAnsi="Consolas"/>
          <w:sz w:val="18"/>
          <w:szCs w:val="18"/>
        </w:rPr>
        <w:t xml:space="preserve">  D_total = 0.25 × 8 = 2 L = 2000 ml</w:t>
      </w:r>
    </w:p>
    <w:p>
      <w:pPr>
        <w:shd w:fill="F5F5F5" w:color="auto" w:val="clear"/>
        <w:spacing w:after="0" w:line="240"/>
        <w:ind w:left="360"/>
      </w:pPr>
      <w:r>
        <w:rPr>
          <w:rFonts w:ascii="Consolas" w:cs="Consolas" w:eastAsia="Consolas" w:hAnsi="Consolas"/>
          <w:sz w:val="18"/>
          <w:szCs w:val="18"/>
        </w:rPr>
        <w:t xml:space="preserve">  V_agua  = (2000 / 10) − 2 = 198 L</w:t>
      </w:r>
    </w:p>
    <w:p>
      <w:pPr>
        <w:shd w:fill="F5F5F5" w:color="auto" w:val="clear"/>
        <w:spacing w:after="0" w:line="240"/>
        <w:ind w:left="360"/>
      </w:pPr>
      <w:r>
        <w:rPr>
          <w:rFonts w:ascii="Consolas" w:cs="Consolas" w:eastAsia="Consolas" w:hAnsi="Consolas"/>
          <w:sz w:val="18"/>
          <w:szCs w:val="18"/>
        </w:rPr>
        <w:t xml:space="preserve">  V_total_mezcla = 200 L</w:t>
      </w:r>
    </w:p>
    <w:p>
      <w:pPr>
        <w:shd w:fill="F5F5F5" w:color="auto" w:val="clear"/>
        <w:spacing w:after="0" w:line="240"/>
        <w:ind w:left="360"/>
      </w:pPr>
      <w:r>
        <w:rPr>
          <w:rFonts w:ascii="Consolas" w:cs="Consolas" w:eastAsia="Consolas" w:hAnsi="Consolas"/>
          <w:sz w:val="18"/>
          <w:szCs w:val="18"/>
        </w:rPr>
        <w:t xml:space="preserve">  Carga_Q = (2 / 40) × 100 = 5 %    (dentro del 30 % aceptable)</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Salida: 2 L de AGROTIN + 198 L de agua</w:t>
      </w:r>
    </w:p>
    <w:p>
      <w:pPr>
        <w:shd w:fill="F5F5F5" w:color="auto" w:val="clear"/>
        <w:spacing w:after="0" w:line="240"/>
        <w:ind w:left="360"/>
      </w:pPr>
      <w:r>
        <w:rPr>
          <w:rFonts w:ascii="Consolas" w:cs="Consolas" w:eastAsia="Consolas" w:hAnsi="Consolas"/>
          <w:sz w:val="18"/>
          <w:szCs w:val="18"/>
        </w:rPr>
        <w:t xml:space="preserve">        → concentración resultante 10 ml/L  ✓</w:t>
      </w:r>
    </w:p>
    <w:p>
      <w:pPr>
        <w:spacing w:after="60"/>
      </w:pPr>
      <w:r>
        <w:t xml:space="preserve"/>
      </w:r>
    </w:p>
    <w:p>
      <w:pPr>
        <w:spacing w:after="120"/>
        <w:jc w:val="both"/>
      </w:pPr>
      <w:r>
        <w:t xml:space="preserve">Comparado con el caso AS-IS observado (V_total = 136 L, C = 21,6 ml/L), AgroSmart sugiere aumentar el volumen total de mezcla y mantiene la concentración exactamente en el límite máximo recomendado.</w:t>
      </w:r>
    </w:p>
    <w:p>
      <w:pPr>
        <w:spacing w:after="120"/>
        <w:jc w:val="both"/>
      </w:pPr>
      <w:r>
        <w:rPr>
          <w:b/>
          <w:bCs/>
        </w:rPr>
        <w:t xml:space="preserve">Salidas. </w:t>
      </w:r>
      <w:r>
        <w:t xml:space="preserve">Objeto mezcla_calculada con: dosis por producto (L o ml), volumen de agua (L), volumen total (L), concentración resultante por producto (ml/L), carga química total (%), orden de adición sugerido.</w:t>
      </w:r>
    </w:p>
    <w:p>
      <w:pPr>
        <w:spacing w:after="120"/>
        <w:jc w:val="both"/>
      </w:pPr>
      <w:r>
        <w:rPr>
          <w:b/>
          <w:bCs/>
        </w:rPr>
        <w:t xml:space="preserve">Fuentes de datos. </w:t>
      </w:r>
      <w:r>
        <w:t xml:space="preserve">Base interna de productos validada contra registros ICA (Resolución 1580 de 2022).</w:t>
      </w:r>
    </w:p>
    <w:p>
      <w:pPr>
        <w:spacing w:after="120"/>
        <w:jc w:val="both"/>
      </w:pPr>
      <w:r>
        <w:rPr>
          <w:b/>
          <w:bCs/>
        </w:rPr>
        <w:t xml:space="preserve">Manejo de errores. </w:t>
      </w:r>
      <w:r>
        <w:t xml:space="preserve">Si el resultado de V_agua es negativo (caso imposible físicamente), el módulo devuelve error indicando que el volumen total objetivo es insuficiente para la dosis solicitada. Si la ficha técnica del producto declara una unidad inválida, el módulo solicita corrección al supervisor antes de proceder.</w:t>
      </w:r>
    </w:p>
    <w:p>
      <w:pPr>
        <w:spacing w:after="120"/>
        <w:jc w:val="both"/>
      </w:pPr>
      <w:r>
        <w:rPr>
          <w:b/>
          <w:bCs/>
        </w:rPr>
        <w:t xml:space="preserve">Criterio de aceptación. </w:t>
      </w:r>
      <w:r>
        <w:t xml:space="preserve">Para los 5 productos de la base inicial, el cálculo coincide con la verificación manual en una hoja de cálculo con tolerancia ≤ 0,5 %. Para el caso AGROTIN específico, el sistema corrige la sobredosificación documentada en el AS-IS.</w:t>
      </w:r>
    </w:p>
    <w:p>
      <w:pPr>
        <w:pStyle w:val="Heading3"/>
        <w:keepNext/>
        <w:spacing w:after="140" w:before="280"/>
      </w:pPr>
      <w:r>
        <w:rPr>
          <w:b/>
          <w:bCs/>
          <w:color w:val="1F4E78"/>
          <w:sz w:val="26"/>
          <w:szCs w:val="26"/>
        </w:rPr>
        <w:t xml:space="preserve">Módulo 3 — Validación técnica de la mezcla</w:t>
      </w:r>
    </w:p>
    <w:p>
      <w:pPr>
        <w:spacing w:after="120"/>
        <w:jc w:val="both"/>
      </w:pPr>
      <w:r>
        <w:rPr>
          <w:b/>
          <w:bCs/>
        </w:rPr>
        <w:t xml:space="preserve">Propósito. </w:t>
      </w:r>
      <w:r>
        <w:t xml:space="preserve">Verificar que la mezcla calculada por el módulo 2 cumpla con los umbrales técnicos antes de autorizar la operación, generando alertas según la severidad del incumplimiento.</w:t>
      </w:r>
    </w:p>
    <w:p>
      <w:pPr>
        <w:spacing w:after="120"/>
        <w:jc w:val="both"/>
      </w:pPr>
      <w:r>
        <w:rPr>
          <w:b/>
          <w:bCs/>
        </w:rPr>
        <w:t xml:space="preserve">Entradas. </w:t>
      </w:r>
      <w:r>
        <w:t xml:space="preserve">Salida del módulo 2 + umbrales operativos (concentración mínima y máxima de etiqueta por producto + umbral de carga química = 30 % del tanque + tolerancia de compatibilidad química).</w:t>
      </w:r>
    </w:p>
    <w:p>
      <w:pPr>
        <w:spacing w:after="80" w:before="120"/>
      </w:pPr>
      <w:r>
        <w:rPr>
          <w:b/>
          <w:bCs/>
        </w:rPr>
        <w:t xml:space="preserve">Reglas IF-THEN explícitas.</w:t>
      </w:r>
    </w:p>
    <w:p>
      <w:pPr>
        <w:shd w:fill="F5F5F5" w:color="auto" w:val="clear"/>
        <w:spacing w:after="0" w:line="240"/>
        <w:ind w:left="360"/>
      </w:pPr>
      <w:r>
        <w:rPr>
          <w:rFonts w:ascii="Consolas" w:cs="Consolas" w:eastAsia="Consolas" w:hAnsi="Consolas"/>
          <w:sz w:val="18"/>
          <w:szCs w:val="18"/>
        </w:rPr>
        <w:t xml:space="preserve">REGLA 1 — Validación de concentración por producto</w:t>
      </w:r>
    </w:p>
    <w:p>
      <w:pPr>
        <w:shd w:fill="F5F5F5" w:color="auto" w:val="clear"/>
        <w:spacing w:after="0" w:line="240"/>
        <w:ind w:left="360"/>
      </w:pPr>
      <w:r>
        <w:rPr>
          <w:rFonts w:ascii="Consolas" w:cs="Consolas" w:eastAsia="Consolas" w:hAnsi="Consolas"/>
          <w:sz w:val="18"/>
          <w:szCs w:val="18"/>
        </w:rPr>
        <w:t xml:space="preserve">  SI C_calculada &lt; C_minima_etiqueta</w:t>
      </w:r>
    </w:p>
    <w:p>
      <w:pPr>
        <w:shd w:fill="F5F5F5" w:color="auto" w:val="clear"/>
        <w:spacing w:after="0" w:line="240"/>
        <w:ind w:left="360"/>
      </w:pPr>
      <w:r>
        <w:rPr>
          <w:rFonts w:ascii="Consolas" w:cs="Consolas" w:eastAsia="Consolas" w:hAnsi="Consolas"/>
          <w:sz w:val="18"/>
          <w:szCs w:val="18"/>
        </w:rPr>
        <w:t xml:space="preserve">     ENTONCES alerta_amarilla</w:t>
      </w:r>
    </w:p>
    <w:p>
      <w:pPr>
        <w:shd w:fill="F5F5F5" w:color="auto" w:val="clear"/>
        <w:spacing w:after="0" w:line="240"/>
        <w:ind w:left="360"/>
      </w:pPr>
      <w:r>
        <w:rPr>
          <w:rFonts w:ascii="Consolas" w:cs="Consolas" w:eastAsia="Consolas" w:hAnsi="Consolas"/>
          <w:sz w:val="18"/>
          <w:szCs w:val="18"/>
        </w:rPr>
        <w:t xml:space="preserve">     MENSAJE: "Concentración por debajo del mínimo; eficacia comprometida"</w:t>
      </w:r>
    </w:p>
    <w:p>
      <w:pPr>
        <w:shd w:fill="F5F5F5" w:color="auto" w:val="clear"/>
        <w:spacing w:after="0" w:line="240"/>
        <w:ind w:left="360"/>
      </w:pPr>
      <w:r>
        <w:rPr>
          <w:rFonts w:ascii="Consolas" w:cs="Consolas" w:eastAsia="Consolas" w:hAnsi="Consolas"/>
          <w:sz w:val="18"/>
          <w:szCs w:val="18"/>
        </w:rPr>
        <w:t xml:space="preserve">  SI C_calculada &gt; C_maxima_etiqueta</w:t>
      </w:r>
    </w:p>
    <w:p>
      <w:pPr>
        <w:shd w:fill="F5F5F5" w:color="auto" w:val="clear"/>
        <w:spacing w:after="0" w:line="240"/>
        <w:ind w:left="360"/>
      </w:pPr>
      <w:r>
        <w:rPr>
          <w:rFonts w:ascii="Consolas" w:cs="Consolas" w:eastAsia="Consolas" w:hAnsi="Consolas"/>
          <w:sz w:val="18"/>
          <w:szCs w:val="18"/>
        </w:rPr>
        <w:t xml:space="preserve">     ENTONCES alerta_roja</w:t>
      </w:r>
    </w:p>
    <w:p>
      <w:pPr>
        <w:shd w:fill="F5F5F5" w:color="auto" w:val="clear"/>
        <w:spacing w:after="0" w:line="240"/>
        <w:ind w:left="360"/>
      </w:pPr>
      <w:r>
        <w:rPr>
          <w:rFonts w:ascii="Consolas" w:cs="Consolas" w:eastAsia="Consolas" w:hAnsi="Consolas"/>
          <w:sz w:val="18"/>
          <w:szCs w:val="18"/>
        </w:rPr>
        <w:t xml:space="preserve">     MENSAJE: "Concentración excede el máximo de etiqueta;</w:t>
      </w:r>
    </w:p>
    <w:p>
      <w:pPr>
        <w:shd w:fill="F5F5F5" w:color="auto" w:val="clear"/>
        <w:spacing w:after="0" w:line="240"/>
        <w:ind w:left="360"/>
      </w:pPr>
      <w:r>
        <w:rPr>
          <w:rFonts w:ascii="Consolas" w:cs="Consolas" w:eastAsia="Consolas" w:hAnsi="Consolas"/>
          <w:sz w:val="18"/>
          <w:szCs w:val="18"/>
        </w:rPr>
        <w:t xml:space="preserve">              riesgo de fitotoxicidad y deriva"</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REGLA 2 — Validación de carga química</w:t>
      </w:r>
    </w:p>
    <w:p>
      <w:pPr>
        <w:shd w:fill="F5F5F5" w:color="auto" w:val="clear"/>
        <w:spacing w:after="0" w:line="240"/>
        <w:ind w:left="360"/>
      </w:pPr>
      <w:r>
        <w:rPr>
          <w:rFonts w:ascii="Consolas" w:cs="Consolas" w:eastAsia="Consolas" w:hAnsi="Consolas"/>
          <w:sz w:val="18"/>
          <w:szCs w:val="18"/>
        </w:rPr>
        <w:t xml:space="preserve">  SI Carga_Q ≤ 20 %</w:t>
      </w:r>
    </w:p>
    <w:p>
      <w:pPr>
        <w:shd w:fill="F5F5F5" w:color="auto" w:val="clear"/>
        <w:spacing w:after="0" w:line="240"/>
        <w:ind w:left="360"/>
      </w:pPr>
      <w:r>
        <w:rPr>
          <w:rFonts w:ascii="Consolas" w:cs="Consolas" w:eastAsia="Consolas" w:hAnsi="Consolas"/>
          <w:sz w:val="18"/>
          <w:szCs w:val="18"/>
        </w:rPr>
        <w:t xml:space="preserve">     ENTONCES estado_carga = válido</w:t>
      </w:r>
    </w:p>
    <w:p>
      <w:pPr>
        <w:shd w:fill="F5F5F5" w:color="auto" w:val="clear"/>
        <w:spacing w:after="0" w:line="240"/>
        <w:ind w:left="360"/>
      </w:pPr>
      <w:r>
        <w:rPr>
          <w:rFonts w:ascii="Consolas" w:cs="Consolas" w:eastAsia="Consolas" w:hAnsi="Consolas"/>
          <w:sz w:val="18"/>
          <w:szCs w:val="18"/>
        </w:rPr>
        <w:t xml:space="preserve">  SI 20 % &lt; Carga_Q ≤ 30 %</w:t>
      </w:r>
    </w:p>
    <w:p>
      <w:pPr>
        <w:shd w:fill="F5F5F5" w:color="auto" w:val="clear"/>
        <w:spacing w:after="0" w:line="240"/>
        <w:ind w:left="360"/>
      </w:pPr>
      <w:r>
        <w:rPr>
          <w:rFonts w:ascii="Consolas" w:cs="Consolas" w:eastAsia="Consolas" w:hAnsi="Consolas"/>
          <w:sz w:val="18"/>
          <w:szCs w:val="18"/>
        </w:rPr>
        <w:t xml:space="preserve">     ENTONCES alerta_amarilla</w:t>
      </w:r>
    </w:p>
    <w:p>
      <w:pPr>
        <w:shd w:fill="F5F5F5" w:color="auto" w:val="clear"/>
        <w:spacing w:after="0" w:line="240"/>
        <w:ind w:left="360"/>
      </w:pPr>
      <w:r>
        <w:rPr>
          <w:rFonts w:ascii="Consolas" w:cs="Consolas" w:eastAsia="Consolas" w:hAnsi="Consolas"/>
          <w:sz w:val="18"/>
          <w:szCs w:val="18"/>
        </w:rPr>
        <w:t xml:space="preserve">     MENSAJE: "Carga química elevada; monitorear bombeo durante el vuelo"</w:t>
      </w:r>
    </w:p>
    <w:p>
      <w:pPr>
        <w:shd w:fill="F5F5F5" w:color="auto" w:val="clear"/>
        <w:spacing w:after="0" w:line="240"/>
        <w:ind w:left="360"/>
      </w:pPr>
      <w:r>
        <w:rPr>
          <w:rFonts w:ascii="Consolas" w:cs="Consolas" w:eastAsia="Consolas" w:hAnsi="Consolas"/>
          <w:sz w:val="18"/>
          <w:szCs w:val="18"/>
        </w:rPr>
        <w:t xml:space="preserve">  SI Carga_Q &gt; 30 %</w:t>
      </w:r>
    </w:p>
    <w:p>
      <w:pPr>
        <w:shd w:fill="F5F5F5" w:color="auto" w:val="clear"/>
        <w:spacing w:after="0" w:line="240"/>
        <w:ind w:left="360"/>
      </w:pPr>
      <w:r>
        <w:rPr>
          <w:rFonts w:ascii="Consolas" w:cs="Consolas" w:eastAsia="Consolas" w:hAnsi="Consolas"/>
          <w:sz w:val="18"/>
          <w:szCs w:val="18"/>
        </w:rPr>
        <w:t xml:space="preserve">     ENTONCES alerta_roja</w:t>
      </w:r>
    </w:p>
    <w:p>
      <w:pPr>
        <w:shd w:fill="F5F5F5" w:color="auto" w:val="clear"/>
        <w:spacing w:after="0" w:line="240"/>
        <w:ind w:left="360"/>
      </w:pPr>
      <w:r>
        <w:rPr>
          <w:rFonts w:ascii="Consolas" w:cs="Consolas" w:eastAsia="Consolas" w:hAnsi="Consolas"/>
          <w:sz w:val="18"/>
          <w:szCs w:val="18"/>
        </w:rPr>
        <w:t xml:space="preserve">     MENSAJE: "Carga química excede 30 % del tanque;</w:t>
      </w:r>
    </w:p>
    <w:p>
      <w:pPr>
        <w:shd w:fill="F5F5F5" w:color="auto" w:val="clear"/>
        <w:spacing w:after="0" w:line="240"/>
        <w:ind w:left="360"/>
      </w:pPr>
      <w:r>
        <w:rPr>
          <w:rFonts w:ascii="Consolas" w:cs="Consolas" w:eastAsia="Consolas" w:hAnsi="Consolas"/>
          <w:sz w:val="18"/>
          <w:szCs w:val="18"/>
        </w:rPr>
        <w:t xml:space="preserve">              riesgo de saturación y daño al bombeo"</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REGLA 3 — Compatibilidad entre productos</w:t>
      </w:r>
    </w:p>
    <w:p>
      <w:pPr>
        <w:shd w:fill="F5F5F5" w:color="auto" w:val="clear"/>
        <w:spacing w:after="0" w:line="240"/>
        <w:ind w:left="360"/>
      </w:pPr>
      <w:r>
        <w:rPr>
          <w:rFonts w:ascii="Consolas" w:cs="Consolas" w:eastAsia="Consolas" w:hAnsi="Consolas"/>
          <w:sz w:val="18"/>
          <w:szCs w:val="18"/>
        </w:rPr>
        <w:t xml:space="preserve">  SI dos o más productos de la mezcla son incompatibles</w:t>
      </w:r>
    </w:p>
    <w:p>
      <w:pPr>
        <w:shd w:fill="F5F5F5" w:color="auto" w:val="clear"/>
        <w:spacing w:after="0" w:line="240"/>
        <w:ind w:left="360"/>
      </w:pPr>
      <w:r>
        <w:rPr>
          <w:rFonts w:ascii="Consolas" w:cs="Consolas" w:eastAsia="Consolas" w:hAnsi="Consolas"/>
          <w:sz w:val="18"/>
          <w:szCs w:val="18"/>
        </w:rPr>
        <w:t xml:space="preserve">     (según tabla de compatibilidades de la base interna)</w:t>
      </w:r>
    </w:p>
    <w:p>
      <w:pPr>
        <w:shd w:fill="F5F5F5" w:color="auto" w:val="clear"/>
        <w:spacing w:after="0" w:line="240"/>
        <w:ind w:left="360"/>
      </w:pPr>
      <w:r>
        <w:rPr>
          <w:rFonts w:ascii="Consolas" w:cs="Consolas" w:eastAsia="Consolas" w:hAnsi="Consolas"/>
          <w:sz w:val="18"/>
          <w:szCs w:val="18"/>
        </w:rPr>
        <w:t xml:space="preserve">     ENTONCES alerta_roja</w:t>
      </w:r>
    </w:p>
    <w:p>
      <w:pPr>
        <w:shd w:fill="F5F5F5" w:color="auto" w:val="clear"/>
        <w:spacing w:after="0" w:line="240"/>
        <w:ind w:left="360"/>
      </w:pPr>
      <w:r>
        <w:rPr>
          <w:rFonts w:ascii="Consolas" w:cs="Consolas" w:eastAsia="Consolas" w:hAnsi="Consolas"/>
          <w:sz w:val="18"/>
          <w:szCs w:val="18"/>
        </w:rPr>
        <w:t xml:space="preserve">     MENSAJE: "Productos incompatibles: [lista]; no aplicar juntos"</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REGLA 4 — Consolidación de estado</w:t>
      </w:r>
    </w:p>
    <w:p>
      <w:pPr>
        <w:shd w:fill="F5F5F5" w:color="auto" w:val="clear"/>
        <w:spacing w:after="0" w:line="240"/>
        <w:ind w:left="360"/>
      </w:pPr>
      <w:r>
        <w:rPr>
          <w:rFonts w:ascii="Consolas" w:cs="Consolas" w:eastAsia="Consolas" w:hAnsi="Consolas"/>
          <w:sz w:val="18"/>
          <w:szCs w:val="18"/>
        </w:rPr>
        <w:t xml:space="preserve">  estado_final = max(estado_concentración, estado_carga, estado_compatibilidad)</w:t>
      </w:r>
    </w:p>
    <w:p>
      <w:pPr>
        <w:shd w:fill="F5F5F5" w:color="auto" w:val="clear"/>
        <w:spacing w:after="0" w:line="240"/>
        <w:ind w:left="360"/>
      </w:pPr>
      <w:r>
        <w:rPr>
          <w:rFonts w:ascii="Consolas" w:cs="Consolas" w:eastAsia="Consolas" w:hAnsi="Consolas"/>
          <w:sz w:val="18"/>
          <w:szCs w:val="18"/>
        </w:rPr>
        <w:t xml:space="preserve">  donde el orden de severidad es: verde &lt; amarillo &lt; rojo</w:t>
      </w:r>
    </w:p>
    <w:p>
      <w:pPr>
        <w:spacing w:after="60"/>
      </w:pPr>
      <w:r>
        <w:t xml:space="preserve"/>
      </w:r>
    </w:p>
    <w:p>
      <w:pPr>
        <w:spacing w:after="120"/>
        <w:jc w:val="both"/>
      </w:pPr>
      <w:r>
        <w:rPr>
          <w:b/>
          <w:bCs/>
        </w:rPr>
        <w:t xml:space="preserve">Sustento del umbral del 30 %. </w:t>
      </w:r>
      <w:r>
        <w:t xml:space="preserve">El valor del 30 % se basa en las recomendaciones técnicas de los manuales operativos de drones de aspersión DJI Agras (DJI, 2023) y en la literatura sobre viscosidad de soluciones agroquímicas, que indica que por encima de ese porcentaje las propiedades físicas de la mezcla (viscosidad, tensión superficial) pueden alterar el espectro de gota generado por los inyectores y comprometer la uniformidad de la aplicación. Si el equipo confirma con el fabricante un umbral específico para el dron del cliente, este valor es ajustable en la configuración del sistema.</w:t>
      </w:r>
    </w:p>
    <w:p>
      <w:pPr>
        <w:spacing w:after="120"/>
        <w:jc w:val="both"/>
      </w:pPr>
      <w:r>
        <w:rPr>
          <w:b/>
          <w:bCs/>
        </w:rPr>
        <w:t xml:space="preserve">Salidas. </w:t>
      </w:r>
      <w:r>
        <w:t xml:space="preserve">Objeto validacion con: estado consolidado (verde/amarillo/rojo), lista de alertas detectadas con su mensaje técnico, recomendación de ajuste (cuando aplica).</w:t>
      </w:r>
    </w:p>
    <w:p>
      <w:pPr>
        <w:spacing w:after="120"/>
        <w:jc w:val="both"/>
      </w:pPr>
      <w:r>
        <w:rPr>
          <w:b/>
          <w:bCs/>
        </w:rPr>
        <w:t xml:space="preserve">Fuentes de datos. </w:t>
      </w:r>
      <w:r>
        <w:t xml:space="preserve">Base interna de productos (rangos de etiqueta y compatibilidades), configuración del cliente (tipo de dron y capacidad del tanque).</w:t>
      </w:r>
    </w:p>
    <w:p>
      <w:pPr>
        <w:spacing w:after="120"/>
        <w:jc w:val="both"/>
      </w:pPr>
      <w:r>
        <w:rPr>
          <w:b/>
          <w:bCs/>
        </w:rPr>
        <w:t xml:space="preserve">Manejo de errores. </w:t>
      </w:r>
      <w:r>
        <w:t xml:space="preserve">Si la ficha técnica del producto no declara rango mínimo, el módulo usa 50 % de la dosis máxima como aproximación y advierte al usuario.</w:t>
      </w:r>
    </w:p>
    <w:p>
      <w:pPr>
        <w:spacing w:after="120"/>
        <w:jc w:val="both"/>
      </w:pPr>
      <w:r>
        <w:rPr>
          <w:b/>
          <w:bCs/>
        </w:rPr>
        <w:t xml:space="preserve">Criterio de aceptación. </w:t>
      </w:r>
      <w:r>
        <w:t xml:space="preserve">El 100 % de las mezclas con concentración por encima del máximo de etiqueta generan alerta roja en el caso de prueba; el 100 % de las mezclas con carga química &gt; 30 % bloquean el avance al módulo 5.</w:t>
      </w:r>
    </w:p>
    <w:p>
      <w:pPr>
        <w:pStyle w:val="Heading3"/>
        <w:keepNext/>
        <w:spacing w:after="140" w:before="280"/>
      </w:pPr>
      <w:r>
        <w:rPr>
          <w:b/>
          <w:bCs/>
          <w:color w:val="1F4E78"/>
          <w:sz w:val="26"/>
          <w:szCs w:val="26"/>
        </w:rPr>
        <w:t xml:space="preserve">Módulo 4 — Integración ambiental</w:t>
      </w:r>
    </w:p>
    <w:p>
      <w:pPr>
        <w:spacing w:after="120"/>
        <w:jc w:val="both"/>
      </w:pPr>
      <w:r>
        <w:rPr>
          <w:b/>
          <w:bCs/>
        </w:rPr>
        <w:t xml:space="preserve">Propósito. </w:t>
      </w:r>
      <w:r>
        <w:t xml:space="preserve">Evaluar las condiciones climáticas y espaciales del entorno del lote en el momento previo a la fumigación, generando un semáforo de riesgo ambiental que sintetiza múltiples variables.</w:t>
      </w:r>
    </w:p>
    <w:p>
      <w:pPr>
        <w:spacing w:after="120"/>
        <w:jc w:val="both"/>
      </w:pPr>
      <w:r>
        <w:rPr>
          <w:b/>
          <w:bCs/>
        </w:rPr>
        <w:t xml:space="preserve">Entradas. </w:t>
      </w:r>
      <w:r>
        <w:t xml:space="preserve">Coordenadas GPS del lote + timestamp actual + APIs externas (Open-Meteo, IDEAM) + capas geográficas (IGAC, OpenStreetMap).</w:t>
      </w:r>
    </w:p>
    <w:p>
      <w:pPr>
        <w:spacing w:after="80" w:before="120"/>
      </w:pPr>
      <w:r>
        <w:rPr>
          <w:b/>
          <w:bCs/>
        </w:rPr>
        <w:t xml:space="preserve">Variables consultadas y umbrales operativos.</w:t>
      </w:r>
    </w:p>
    <w:p>
      <w:pPr>
        <w:keepNext/>
        <w:spacing w:after="80" w:before="160"/>
        <w:jc w:val="center"/>
      </w:pPr>
      <w:r>
        <w:rPr>
          <w:b/>
          <w:bCs/>
        </w:rPr>
        <w:t xml:space="preserve">Tabla M4.1. </w:t>
      </w:r>
      <w:r>
        <w:rPr>
          <w:i/>
          <w:iCs/>
        </w:rPr>
        <w:t xml:space="preserve">Umbrales operativos por variable ambiental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1700"/>
        <w:gridCol w:w="16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vAlign w:val="center"/>
          </w:tcPr>
          <w:p>
            <w:pPr>
              <w:jc w:val="center"/>
            </w:pPr>
            <w:r>
              <w:rPr>
                <w:b/>
                <w:bCs/>
                <w:color w:val="FFFFFF"/>
              </w:rPr>
              <w:t xml:space="preserve">Variable</w:t>
            </w:r>
          </w:p>
        </w:tc>
        <w:tc>
          <w:tcPr>
            <w:tcW w:type="dxa" w:w="16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vAlign w:val="center"/>
          </w:tcPr>
          <w:p>
            <w:pPr>
              <w:jc w:val="center"/>
            </w:pPr>
            <w:r>
              <w:rPr>
                <w:b/>
                <w:bCs/>
                <w:color w:val="FFFFFF"/>
              </w:rPr>
              <w:t xml:space="preserve">Fuente</w:t>
            </w:r>
          </w:p>
        </w:tc>
        <w:tc>
          <w:tcPr>
            <w:tcW w:type="dxa" w:w="14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vAlign w:val="center"/>
          </w:tcPr>
          <w:p>
            <w:pPr>
              <w:jc w:val="center"/>
            </w:pPr>
            <w:r>
              <w:rPr>
                <w:b/>
                <w:bCs/>
                <w:color w:val="FFFFFF"/>
              </w:rPr>
              <w:t xml:space="preserve">Umbral verde</w:t>
            </w:r>
          </w:p>
        </w:tc>
        <w:tc>
          <w:tcPr>
            <w:tcW w:type="dxa" w:w="17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vAlign w:val="center"/>
          </w:tcPr>
          <w:p>
            <w:pPr>
              <w:jc w:val="center"/>
            </w:pPr>
            <w:r>
              <w:rPr>
                <w:b/>
                <w:bCs/>
                <w:color w:val="FFFFFF"/>
              </w:rPr>
              <w:t xml:space="preserve">Umbral amarillo</w:t>
            </w:r>
          </w:p>
        </w:tc>
        <w:tc>
          <w:tcPr>
            <w:tcW w:type="dxa" w:w="166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vAlign w:val="center"/>
          </w:tcPr>
          <w:p>
            <w:pPr>
              <w:jc w:val="center"/>
            </w:pPr>
            <w:r>
              <w:rPr>
                <w:b/>
                <w:bCs/>
                <w:color w:val="FFFFFF"/>
              </w:rPr>
              <w:t xml:space="preserve">Umbral rojo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Velocidad del viento (m/s)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Open-Meteo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 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3 a 4</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&gt; 4</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Probabilidad de precipitación 2 h (%)</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Open-Meteo</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 20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20 a 50</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&gt; 50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Temperatura ambiente (°C)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Open-Meteo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15 a 25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10–15 o 25–30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&lt; 10 o &gt; 30</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Humedad relativa (%)</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Open-Meteo</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50 a 70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30–50 o 70–85</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&lt; 30 o &gt; 85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Distancia a cuerpo de agua (m)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IGAC + GPS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 30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15 a 30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20"/>
                <w:szCs w:val="20"/>
              </w:rPr>
              <w:t xml:space="preserve">&lt; 15</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Punto de rocío vs temperatura (°C)</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Open-Meteo</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ΔT &gt; 4</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ΔT entre 2 y 4</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sz w:val="20"/>
                <w:szCs w:val="20"/>
              </w:rPr>
              <w:t xml:space="preserve">ΔT ≤ 2</w:t>
            </w:r>
          </w:p>
        </w:tc>
      </w:tr>
    </w:tbl>
    <w:p>
      <w:pPr>
        <w:spacing w:after="120"/>
        <w:jc w:val="both"/>
      </w:pPr>
      <w:r>
        <w:rPr>
          <w:b/>
          <w:bCs/>
        </w:rPr>
        <w:t xml:space="preserve">Sustento de umbrales. </w:t>
      </w:r>
      <w:r>
        <w:t xml:space="preserve">Los rangos de viento provienen de las recomendaciones operativas de DJI (2023) para aplicación con UAV. Los rangos de temperatura, humedad y punto de rocío siguen las pautas de la OECD (2021) sobre buenas prácticas de aplicación aérea para minimizar deriva y evaporación. Los umbrales de distancia a cuerpos de agua corresponden a las zonas de retiro definidas por el Decreto 1843 de 1991. Estos valores son ajustables por el supervisor en la configuración inicial, con confirmación del agrónomo.</w:t>
      </w:r>
    </w:p>
    <w:p>
      <w:pPr>
        <w:spacing w:after="80" w:before="140"/>
      </w:pPr>
      <w:r>
        <w:rPr>
          <w:b/>
          <w:bCs/>
        </w:rPr>
        <w:t xml:space="preserve">Modelo de scoring del semáforo ambiental.</w:t>
      </w:r>
    </w:p>
    <w:p>
      <w:pPr>
        <w:spacing w:after="120"/>
        <w:jc w:val="both"/>
      </w:pPr>
      <w:r>
        <w:t xml:space="preserve">Cada variable se evalúa por separado y se le asigna un puntaje según el umbral en que cae:</w:t>
      </w:r>
    </w:p>
    <w:p>
      <w:pPr>
        <w:shd w:fill="F5F5F5" w:color="auto" w:val="clear"/>
        <w:spacing w:after="0" w:line="240"/>
        <w:ind w:left="360"/>
      </w:pPr>
      <w:r>
        <w:rPr>
          <w:rFonts w:ascii="Consolas" w:cs="Consolas" w:eastAsia="Consolas" w:hAnsi="Consolas"/>
          <w:sz w:val="18"/>
          <w:szCs w:val="18"/>
        </w:rPr>
        <w:t xml:space="preserve">puntaje_variable = 0   SI estado = verde</w:t>
      </w:r>
    </w:p>
    <w:p>
      <w:pPr>
        <w:shd w:fill="F5F5F5" w:color="auto" w:val="clear"/>
        <w:spacing w:after="0" w:line="240"/>
        <w:ind w:left="360"/>
      </w:pPr>
      <w:r>
        <w:rPr>
          <w:rFonts w:ascii="Consolas" w:cs="Consolas" w:eastAsia="Consolas" w:hAnsi="Consolas"/>
          <w:sz w:val="18"/>
          <w:szCs w:val="18"/>
        </w:rPr>
        <w:t xml:space="preserve">puntaje_variable = 1   SI estado = amarillo</w:t>
      </w:r>
    </w:p>
    <w:p>
      <w:pPr>
        <w:shd w:fill="F5F5F5" w:color="auto" w:val="clear"/>
        <w:spacing w:after="0" w:line="240"/>
        <w:ind w:left="360"/>
      </w:pPr>
      <w:r>
        <w:rPr>
          <w:rFonts w:ascii="Consolas" w:cs="Consolas" w:eastAsia="Consolas" w:hAnsi="Consolas"/>
          <w:sz w:val="18"/>
          <w:szCs w:val="18"/>
        </w:rPr>
        <w:t xml:space="preserve">puntaje_variable = 3   SI estado = rojo</w:t>
      </w:r>
    </w:p>
    <w:p>
      <w:pPr>
        <w:spacing w:after="60"/>
      </w:pPr>
      <w:r>
        <w:t xml:space="preserve"/>
      </w:r>
    </w:p>
    <w:p>
      <w:pPr>
        <w:spacing w:after="120"/>
        <w:jc w:val="both"/>
      </w:pPr>
      <w:r>
        <w:t xml:space="preserve">El semáforo global se calcula combinando los puntajes individuales con pesos según criticidad:</w:t>
      </w:r>
    </w:p>
    <w:p>
      <w:pPr>
        <w:shd w:fill="F5F5F5" w:color="auto" w:val="clear"/>
        <w:spacing w:after="0" w:line="240"/>
        <w:ind w:left="360"/>
      </w:pPr>
      <w:r>
        <w:rPr>
          <w:rFonts w:ascii="Consolas" w:cs="Consolas" w:eastAsia="Consolas" w:hAnsi="Consolas"/>
          <w:sz w:val="18"/>
          <w:szCs w:val="18"/>
        </w:rPr>
        <w:t xml:space="preserve">score_global = 3 × p_viento</w:t>
      </w:r>
    </w:p>
    <w:p>
      <w:pPr>
        <w:shd w:fill="F5F5F5" w:color="auto" w:val="clear"/>
        <w:spacing w:after="0" w:line="240"/>
        <w:ind w:left="360"/>
      </w:pPr>
      <w:r>
        <w:rPr>
          <w:rFonts w:ascii="Consolas" w:cs="Consolas" w:eastAsia="Consolas" w:hAnsi="Consolas"/>
          <w:sz w:val="18"/>
          <w:szCs w:val="18"/>
        </w:rPr>
        <w:t xml:space="preserve">             + 2 × p_precipitación</w:t>
      </w:r>
    </w:p>
    <w:p>
      <w:pPr>
        <w:shd w:fill="F5F5F5" w:color="auto" w:val="clear"/>
        <w:spacing w:after="0" w:line="240"/>
        <w:ind w:left="360"/>
      </w:pPr>
      <w:r>
        <w:rPr>
          <w:rFonts w:ascii="Consolas" w:cs="Consolas" w:eastAsia="Consolas" w:hAnsi="Consolas"/>
          <w:sz w:val="18"/>
          <w:szCs w:val="18"/>
        </w:rPr>
        <w:t xml:space="preserve">             + 2 × p_distancia_agua</w:t>
      </w:r>
    </w:p>
    <w:p>
      <w:pPr>
        <w:shd w:fill="F5F5F5" w:color="auto" w:val="clear"/>
        <w:spacing w:after="0" w:line="240"/>
        <w:ind w:left="360"/>
      </w:pPr>
      <w:r>
        <w:rPr>
          <w:rFonts w:ascii="Consolas" w:cs="Consolas" w:eastAsia="Consolas" w:hAnsi="Consolas"/>
          <w:sz w:val="18"/>
          <w:szCs w:val="18"/>
        </w:rPr>
        <w:t xml:space="preserve">             + 1 × p_temperatura</w:t>
      </w:r>
    </w:p>
    <w:p>
      <w:pPr>
        <w:shd w:fill="F5F5F5" w:color="auto" w:val="clear"/>
        <w:spacing w:after="0" w:line="240"/>
        <w:ind w:left="360"/>
      </w:pPr>
      <w:r>
        <w:rPr>
          <w:rFonts w:ascii="Consolas" w:cs="Consolas" w:eastAsia="Consolas" w:hAnsi="Consolas"/>
          <w:sz w:val="18"/>
          <w:szCs w:val="18"/>
        </w:rPr>
        <w:t xml:space="preserve">             + 1 × p_humedad</w:t>
      </w:r>
    </w:p>
    <w:p>
      <w:pPr>
        <w:shd w:fill="F5F5F5" w:color="auto" w:val="clear"/>
        <w:spacing w:after="0" w:line="240"/>
        <w:ind w:left="360"/>
      </w:pPr>
      <w:r>
        <w:rPr>
          <w:rFonts w:ascii="Consolas" w:cs="Consolas" w:eastAsia="Consolas" w:hAnsi="Consolas"/>
          <w:sz w:val="18"/>
          <w:szCs w:val="18"/>
        </w:rPr>
        <w:t xml:space="preserve">             + 1 × p_punto_rocío</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SI score_global ≤ 2       ENTONCES semáforo = verde   (condiciones aptas)</w:t>
      </w:r>
    </w:p>
    <w:p>
      <w:pPr>
        <w:shd w:fill="F5F5F5" w:color="auto" w:val="clear"/>
        <w:spacing w:after="0" w:line="240"/>
        <w:ind w:left="360"/>
      </w:pPr>
      <w:r>
        <w:rPr>
          <w:rFonts w:ascii="Consolas" w:cs="Consolas" w:eastAsia="Consolas" w:hAnsi="Consolas"/>
          <w:sz w:val="18"/>
          <w:szCs w:val="18"/>
        </w:rPr>
        <w:t xml:space="preserve">SI 2 &lt; score_global ≤ 6   ENTONCES semáforo = amarillo (precaución)</w:t>
      </w:r>
    </w:p>
    <w:p>
      <w:pPr>
        <w:shd w:fill="F5F5F5" w:color="auto" w:val="clear"/>
        <w:spacing w:after="0" w:line="240"/>
        <w:ind w:left="360"/>
      </w:pPr>
      <w:r>
        <w:rPr>
          <w:rFonts w:ascii="Consolas" w:cs="Consolas" w:eastAsia="Consolas" w:hAnsi="Consolas"/>
          <w:sz w:val="18"/>
          <w:szCs w:val="18"/>
        </w:rPr>
        <w:t xml:space="preserve">SI score_global &gt; 6       ENTONCES semáforo = rojo    (no recomendado)</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REGLA ADICIONAL:</w:t>
      </w:r>
    </w:p>
    <w:p>
      <w:pPr>
        <w:shd w:fill="F5F5F5" w:color="auto" w:val="clear"/>
        <w:spacing w:after="0" w:line="240"/>
        <w:ind w:left="360"/>
      </w:pPr>
      <w:r>
        <w:rPr>
          <w:rFonts w:ascii="Consolas" w:cs="Consolas" w:eastAsia="Consolas" w:hAnsi="Consolas"/>
          <w:sz w:val="18"/>
          <w:szCs w:val="18"/>
        </w:rPr>
        <w:t xml:space="preserve">  Si cualquier variable está en estado rojo individualmente,</w:t>
      </w:r>
    </w:p>
    <w:p>
      <w:pPr>
        <w:shd w:fill="F5F5F5" w:color="auto" w:val="clear"/>
        <w:spacing w:after="0" w:line="240"/>
        <w:ind w:left="360"/>
      </w:pPr>
      <w:r>
        <w:rPr>
          <w:rFonts w:ascii="Consolas" w:cs="Consolas" w:eastAsia="Consolas" w:hAnsi="Consolas"/>
          <w:sz w:val="18"/>
          <w:szCs w:val="18"/>
        </w:rPr>
        <w:t xml:space="preserve">  el semáforo global no puede ser verde (se eleva al menos a amarillo).</w:t>
      </w:r>
    </w:p>
    <w:p>
      <w:pPr>
        <w:spacing w:after="60"/>
      </w:pPr>
      <w:r>
        <w:t xml:space="preserve"/>
      </w:r>
    </w:p>
    <w:p>
      <w:pPr>
        <w:spacing w:after="120"/>
        <w:jc w:val="both"/>
      </w:pPr>
      <w:r>
        <w:t xml:space="preserve">Los pesos reflejan la importancia técnica de cada variable: el viento tiene peso 3 porque es la variable que más afecta la deriva; precipitación y distancia a agua tienen peso 2 por su impacto directo en contaminación hídrica; las demás peso 1 por afectar principalmente la eficacia de la aplicación.</w:t>
      </w:r>
    </w:p>
    <w:p>
      <w:pPr>
        <w:spacing w:after="120"/>
        <w:jc w:val="both"/>
      </w:pPr>
      <w:r>
        <w:rPr>
          <w:b/>
          <w:bCs/>
        </w:rPr>
        <w:t xml:space="preserve">Ventana de fumigación sugerida. </w:t>
      </w:r>
      <w:r>
        <w:t xml:space="preserve">El módulo consulta el pronóstico horario de las próximas 72 horas y aplica las mismas reglas para identificar bloques de tiempo con semáforo verde, mostrando al usuario la ventana óptima más cercana.</w:t>
      </w:r>
    </w:p>
    <w:p>
      <w:pPr>
        <w:spacing w:after="120"/>
        <w:jc w:val="both"/>
      </w:pPr>
      <w:r>
        <w:rPr>
          <w:b/>
          <w:bCs/>
        </w:rPr>
        <w:t xml:space="preserve">Salidas. </w:t>
      </w:r>
      <w:r>
        <w:t xml:space="preserve">Objeto ambiental con: semáforo global, score numérico, valores actuales de cada variable, timestamp de la consulta, ventana de fumigación sugerida en las próximas 72 h.</w:t>
      </w:r>
    </w:p>
    <w:p>
      <w:pPr>
        <w:spacing w:after="120"/>
        <w:jc w:val="both"/>
      </w:pPr>
      <w:r>
        <w:rPr>
          <w:b/>
          <w:bCs/>
        </w:rPr>
        <w:t xml:space="preserve">Fuentes de datos. </w:t>
      </w:r>
      <w:r>
        <w:t xml:space="preserve">Open-Meteo (clima en tiempo real, frecuencia 1 h), IDEAM (respaldo), capas IGAC (cuerpos de agua), GPS del dispositivo.</w:t>
      </w:r>
    </w:p>
    <w:p>
      <w:pPr>
        <w:spacing w:after="120"/>
        <w:jc w:val="both"/>
      </w:pPr>
      <w:r>
        <w:rPr>
          <w:b/>
          <w:bCs/>
        </w:rPr>
        <w:t xml:space="preserve">Manejo de errores. </w:t>
      </w:r>
      <w:r>
        <w:t xml:space="preserve">Si Open-Meteo no responde, el módulo consulta IDEAM. Si ninguna fuente responde, el módulo opera en modo degradado, mostrando el último dato cacheado con su antigüedad explícita y advirtiendo al usuario que la información puede no ser actual. Para filtrado de ruido en datos meteorológicos, el módulo descarta lecturas con marcas de error en la respuesta de la API y promedia los datos de las últimas tres consultas para variables ruidosas (viento).</w:t>
      </w:r>
    </w:p>
    <w:p>
      <w:pPr>
        <w:spacing w:after="120"/>
        <w:jc w:val="both"/>
      </w:pPr>
      <w:r>
        <w:rPr>
          <w:b/>
          <w:bCs/>
        </w:rPr>
        <w:t xml:space="preserve">Criterio de aceptación. </w:t>
      </w:r>
      <w:r>
        <w:t xml:space="preserve">El semáforo global produce el mismo resultado que la evaluación manual del agrónomo en al menos el 90 % de los casos de prueba; la ventana de fumigación sugerida coincide con bloques de pronóstico con todas las variables en verde.</w:t>
      </w:r>
    </w:p>
    <w:p>
      <w:pPr>
        <w:pStyle w:val="Heading3"/>
        <w:keepNext/>
        <w:spacing w:after="140" w:before="280"/>
      </w:pPr>
      <w:r>
        <w:rPr>
          <w:b/>
          <w:bCs/>
          <w:color w:val="1F4E78"/>
          <w:sz w:val="26"/>
          <w:szCs w:val="26"/>
        </w:rPr>
        <w:t xml:space="preserve">Módulo 5 — Alertas y panel de decisión</w:t>
      </w:r>
    </w:p>
    <w:p>
      <w:pPr>
        <w:spacing w:after="120"/>
        <w:jc w:val="both"/>
      </w:pPr>
      <w:r>
        <w:rPr>
          <w:b/>
          <w:bCs/>
        </w:rPr>
        <w:t xml:space="preserve">Propósito. </w:t>
      </w:r>
      <w:r>
        <w:t xml:space="preserve">Consolidar la salida técnica (módulo 3) y la ambiental (módulo 4) en un panel pre-fumigación unificado, manejar la confirmación del operador y registrar la decisión final en la bitácora.</w:t>
      </w:r>
    </w:p>
    <w:p>
      <w:pPr>
        <w:spacing w:after="120"/>
        <w:jc w:val="both"/>
      </w:pPr>
      <w:r>
        <w:rPr>
          <w:b/>
          <w:bCs/>
        </w:rPr>
        <w:t xml:space="preserve">Entradas. </w:t>
      </w:r>
      <w:r>
        <w:t xml:space="preserve">Salidas de los módulos 3 (validación técnica) y 4 (integración ambiental).</w:t>
      </w:r>
    </w:p>
    <w:p>
      <w:pPr>
        <w:spacing w:after="80" w:before="120"/>
      </w:pPr>
      <w:r>
        <w:rPr>
          <w:b/>
          <w:bCs/>
        </w:rPr>
        <w:t xml:space="preserve">Proceso de combinación de severidades.</w:t>
      </w:r>
    </w:p>
    <w:p>
      <w:pPr>
        <w:shd w:fill="F5F5F5" w:color="auto" w:val="clear"/>
        <w:spacing w:after="0" w:line="240"/>
        <w:ind w:left="360"/>
      </w:pPr>
      <w:r>
        <w:rPr>
          <w:rFonts w:ascii="Consolas" w:cs="Consolas" w:eastAsia="Consolas" w:hAnsi="Consolas"/>
          <w:sz w:val="18"/>
          <w:szCs w:val="18"/>
        </w:rPr>
        <w:t xml:space="preserve">semaforo_global = max(estado_técnico, estado_ambiental)</w:t>
      </w:r>
    </w:p>
    <w:p>
      <w:pPr>
        <w:shd w:fill="F5F5F5" w:color="auto" w:val="clear"/>
        <w:spacing w:after="0" w:line="240"/>
        <w:ind w:left="360"/>
      </w:pPr>
      <w:r>
        <w:rPr>
          <w:rFonts w:ascii="Consolas" w:cs="Consolas" w:eastAsia="Consolas" w:hAnsi="Consolas"/>
          <w:sz w:val="18"/>
          <w:szCs w:val="18"/>
        </w:rPr>
        <w:t xml:space="preserve">donde max sigue el orden:  verde &lt; amarillo &lt; rojo</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panel_prefumigación = {</w:t>
      </w:r>
    </w:p>
    <w:p>
      <w:pPr>
        <w:shd w:fill="F5F5F5" w:color="auto" w:val="clear"/>
        <w:spacing w:after="0" w:line="240"/>
        <w:ind w:left="360"/>
      </w:pPr>
      <w:r>
        <w:rPr>
          <w:rFonts w:ascii="Consolas" w:cs="Consolas" w:eastAsia="Consolas" w:hAnsi="Consolas"/>
          <w:sz w:val="18"/>
          <w:szCs w:val="18"/>
        </w:rPr>
        <w:t xml:space="preserve">  semáforo:            semaforo_global,</w:t>
      </w:r>
    </w:p>
    <w:p>
      <w:pPr>
        <w:shd w:fill="F5F5F5" w:color="auto" w:val="clear"/>
        <w:spacing w:after="0" w:line="240"/>
        <w:ind w:left="360"/>
      </w:pPr>
      <w:r>
        <w:rPr>
          <w:rFonts w:ascii="Consolas" w:cs="Consolas" w:eastAsia="Consolas" w:hAnsi="Consolas"/>
          <w:sz w:val="18"/>
          <w:szCs w:val="18"/>
        </w:rPr>
        <w:t xml:space="preserve">  alertas_técnicas:    lista de alertas del módulo 3,</w:t>
      </w:r>
    </w:p>
    <w:p>
      <w:pPr>
        <w:shd w:fill="F5F5F5" w:color="auto" w:val="clear"/>
        <w:spacing w:after="0" w:line="240"/>
        <w:ind w:left="360"/>
      </w:pPr>
      <w:r>
        <w:rPr>
          <w:rFonts w:ascii="Consolas" w:cs="Consolas" w:eastAsia="Consolas" w:hAnsi="Consolas"/>
          <w:sz w:val="18"/>
          <w:szCs w:val="18"/>
        </w:rPr>
        <w:t xml:space="preserve">  alertas_ambientales: lista de alertas del módulo 4,</w:t>
      </w:r>
    </w:p>
    <w:p>
      <w:pPr>
        <w:shd w:fill="F5F5F5" w:color="auto" w:val="clear"/>
        <w:spacing w:after="0" w:line="240"/>
        <w:ind w:left="360"/>
      </w:pPr>
      <w:r>
        <w:rPr>
          <w:rFonts w:ascii="Consolas" w:cs="Consolas" w:eastAsia="Consolas" w:hAnsi="Consolas"/>
          <w:sz w:val="18"/>
          <w:szCs w:val="18"/>
        </w:rPr>
        <w:t xml:space="preserve">  mezcla_calculada:    salida del módulo 2,</w:t>
      </w:r>
    </w:p>
    <w:p>
      <w:pPr>
        <w:shd w:fill="F5F5F5" w:color="auto" w:val="clear"/>
        <w:spacing w:after="0" w:line="240"/>
        <w:ind w:left="360"/>
      </w:pPr>
      <w:r>
        <w:rPr>
          <w:rFonts w:ascii="Consolas" w:cs="Consolas" w:eastAsia="Consolas" w:hAnsi="Consolas"/>
          <w:sz w:val="18"/>
          <w:szCs w:val="18"/>
        </w:rPr>
        <w:t xml:space="preserve">  decisión_requerida:  tipo_de_confirmación_según_severidad</w:t>
      </w:r>
    </w:p>
    <w:p>
      <w:pPr>
        <w:shd w:fill="F5F5F5" w:color="auto" w:val="clear"/>
        <w:spacing w:after="0" w:line="240"/>
        <w:ind w:left="360"/>
      </w:pPr>
      <w:r>
        <w:rPr>
          <w:rFonts w:ascii="Consolas" w:cs="Consolas" w:eastAsia="Consolas" w:hAnsi="Consolas"/>
          <w:sz w:val="18"/>
          <w:szCs w:val="18"/>
        </w:rPr>
        <w:t xml:space="preserve">}</w:t>
      </w:r>
    </w:p>
    <w:p>
      <w:pPr>
        <w:spacing w:after="60"/>
      </w:pPr>
      <w:r>
        <w:t xml:space="preserve"/>
      </w:r>
    </w:p>
    <w:p>
      <w:pPr>
        <w:spacing w:after="80" w:before="120"/>
      </w:pPr>
      <w:r>
        <w:rPr>
          <w:b/>
          <w:bCs/>
        </w:rPr>
        <w:t xml:space="preserve">Reglas de confirmación según severidad.</w:t>
      </w:r>
    </w:p>
    <w:p>
      <w:pPr>
        <w:shd w:fill="F5F5F5" w:color="auto" w:val="clear"/>
        <w:spacing w:after="0" w:line="240"/>
        <w:ind w:left="360"/>
      </w:pPr>
      <w:r>
        <w:rPr>
          <w:rFonts w:ascii="Consolas" w:cs="Consolas" w:eastAsia="Consolas" w:hAnsi="Consolas"/>
          <w:sz w:val="18"/>
          <w:szCs w:val="18"/>
        </w:rPr>
        <w:t xml:space="preserve">SI semáforo_global = verde</w:t>
      </w:r>
    </w:p>
    <w:p>
      <w:pPr>
        <w:shd w:fill="F5F5F5" w:color="auto" w:val="clear"/>
        <w:spacing w:after="0" w:line="240"/>
        <w:ind w:left="360"/>
      </w:pPr>
      <w:r>
        <w:rPr>
          <w:rFonts w:ascii="Consolas" w:cs="Consolas" w:eastAsia="Consolas" w:hAnsi="Consolas"/>
          <w:sz w:val="18"/>
          <w:szCs w:val="18"/>
        </w:rPr>
        <w:t xml:space="preserve">   ENTONCES permitir avance directo con un solo botón "Iniciar fumigación"</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SI semáforo_global = amarillo</w:t>
      </w:r>
    </w:p>
    <w:p>
      <w:pPr>
        <w:shd w:fill="F5F5F5" w:color="auto" w:val="clear"/>
        <w:spacing w:after="0" w:line="240"/>
        <w:ind w:left="360"/>
      </w:pPr>
      <w:r>
        <w:rPr>
          <w:rFonts w:ascii="Consolas" w:cs="Consolas" w:eastAsia="Consolas" w:hAnsi="Consolas"/>
          <w:sz w:val="18"/>
          <w:szCs w:val="18"/>
        </w:rPr>
        <w:t xml:space="preserve">   ENTONCES mostrar pop-up "Existen alertas; ¿desea continuar?"</w:t>
      </w:r>
    </w:p>
    <w:p>
      <w:pPr>
        <w:shd w:fill="F5F5F5" w:color="auto" w:val="clear"/>
        <w:spacing w:after="0" w:line="240"/>
        <w:ind w:left="360"/>
      </w:pPr>
      <w:r>
        <w:rPr>
          <w:rFonts w:ascii="Consolas" w:cs="Consolas" w:eastAsia="Consolas" w:hAnsi="Consolas"/>
          <w:sz w:val="18"/>
          <w:szCs w:val="18"/>
        </w:rPr>
        <w:t xml:space="preserve">   con dos botones [Continuar] [Postergar]</w:t>
      </w:r>
    </w:p>
    <w:p>
      <w:pPr>
        <w:shd w:fill="F5F5F5" w:color="auto" w:val="clear"/>
        <w:spacing w:after="0" w:line="240"/>
        <w:ind w:left="360"/>
      </w:pPr>
      <w:r>
        <w:rPr>
          <w:rFonts w:ascii="Consolas" w:cs="Consolas" w:eastAsia="Consolas" w:hAnsi="Consolas"/>
          <w:sz w:val="18"/>
          <w:szCs w:val="18"/>
        </w:rPr>
        <w:t xml:space="preserve"> </w:t>
      </w:r>
    </w:p>
    <w:p>
      <w:pPr>
        <w:shd w:fill="F5F5F5" w:color="auto" w:val="clear"/>
        <w:spacing w:after="0" w:line="240"/>
        <w:ind w:left="360"/>
      </w:pPr>
      <w:r>
        <w:rPr>
          <w:rFonts w:ascii="Consolas" w:cs="Consolas" w:eastAsia="Consolas" w:hAnsi="Consolas"/>
          <w:sz w:val="18"/>
          <w:szCs w:val="18"/>
        </w:rPr>
        <w:t xml:space="preserve">SI semáforo_global = rojo</w:t>
      </w:r>
    </w:p>
    <w:p>
      <w:pPr>
        <w:shd w:fill="F5F5F5" w:color="auto" w:val="clear"/>
        <w:spacing w:after="0" w:line="240"/>
        <w:ind w:left="360"/>
      </w:pPr>
      <w:r>
        <w:rPr>
          <w:rFonts w:ascii="Consolas" w:cs="Consolas" w:eastAsia="Consolas" w:hAnsi="Consolas"/>
          <w:sz w:val="18"/>
          <w:szCs w:val="18"/>
        </w:rPr>
        <w:t xml:space="preserve">   ENTONCES mostrar pop-up obligatorio con motivo declarado del override:</w:t>
      </w:r>
    </w:p>
    <w:p>
      <w:pPr>
        <w:shd w:fill="F5F5F5" w:color="auto" w:val="clear"/>
        <w:spacing w:after="0" w:line="240"/>
        <w:ind w:left="360"/>
      </w:pPr>
      <w:r>
        <w:rPr>
          <w:rFonts w:ascii="Consolas" w:cs="Consolas" w:eastAsia="Consolas" w:hAnsi="Consolas"/>
          <w:sz w:val="18"/>
          <w:szCs w:val="18"/>
        </w:rPr>
        <w:t xml:space="preserve">   - Lista de alertas con su mensaje técnico</w:t>
      </w:r>
    </w:p>
    <w:p>
      <w:pPr>
        <w:shd w:fill="F5F5F5" w:color="auto" w:val="clear"/>
        <w:spacing w:after="0" w:line="240"/>
        <w:ind w:left="360"/>
      </w:pPr>
      <w:r>
        <w:rPr>
          <w:rFonts w:ascii="Consolas" w:cs="Consolas" w:eastAsia="Consolas" w:hAnsi="Consolas"/>
          <w:sz w:val="18"/>
          <w:szCs w:val="18"/>
        </w:rPr>
        <w:t xml:space="preserve">   - Campo de texto obligatorio (mín. 20 caracteres) para justificar</w:t>
      </w:r>
    </w:p>
    <w:p>
      <w:pPr>
        <w:shd w:fill="F5F5F5" w:color="auto" w:val="clear"/>
        <w:spacing w:after="0" w:line="240"/>
        <w:ind w:left="360"/>
      </w:pPr>
      <w:r>
        <w:rPr>
          <w:rFonts w:ascii="Consolas" w:cs="Consolas" w:eastAsia="Consolas" w:hAnsi="Consolas"/>
          <w:sz w:val="18"/>
          <w:szCs w:val="18"/>
        </w:rPr>
        <w:t xml:space="preserve">   - Confirmación con segundo botón "Sí, asumo la responsabilidad"</w:t>
      </w:r>
    </w:p>
    <w:p>
      <w:pPr>
        <w:shd w:fill="F5F5F5" w:color="auto" w:val="clear"/>
        <w:spacing w:after="0" w:line="240"/>
        <w:ind w:left="360"/>
      </w:pPr>
      <w:r>
        <w:rPr>
          <w:rFonts w:ascii="Consolas" w:cs="Consolas" w:eastAsia="Consolas" w:hAnsi="Consolas"/>
          <w:sz w:val="18"/>
          <w:szCs w:val="18"/>
        </w:rPr>
        <w:t xml:space="preserve">   - Bloqueo si el campo de motivo está vacío</w:t>
      </w:r>
    </w:p>
    <w:p>
      <w:pPr>
        <w:spacing w:after="60"/>
      </w:pPr>
      <w:r>
        <w:t xml:space="preserve"/>
      </w:r>
    </w:p>
    <w:p>
      <w:pPr>
        <w:spacing w:after="60" w:before="100"/>
      </w:pPr>
      <w:r>
        <w:rPr>
          <w:b/>
          <w:bCs/>
        </w:rPr>
        <w:t xml:space="preserve">Registro en bitácora.</w:t>
      </w:r>
    </w:p>
    <w:p>
      <w:pPr>
        <w:pStyle w:val="ListParagraph"/>
        <w:numPr>
          <w:ilvl w:val="0"/>
          <w:numId w:val="2"/>
        </w:numPr>
        <w:spacing w:after="80"/>
        <w:jc w:val="both"/>
      </w:pPr>
      <w:r>
        <w:t xml:space="preserve">ID de sesión, timestamp de creación y de cierre</w:t>
      </w:r>
    </w:p>
    <w:p>
      <w:pPr>
        <w:pStyle w:val="ListParagraph"/>
        <w:numPr>
          <w:ilvl w:val="0"/>
          <w:numId w:val="2"/>
        </w:numPr>
        <w:spacing w:after="80"/>
        <w:jc w:val="both"/>
      </w:pPr>
      <w:r>
        <w:t xml:space="preserve">Usuario que tomó la decisión (rol incluido)</w:t>
      </w:r>
    </w:p>
    <w:p>
      <w:pPr>
        <w:pStyle w:val="ListParagraph"/>
        <w:numPr>
          <w:ilvl w:val="0"/>
          <w:numId w:val="2"/>
        </w:numPr>
        <w:spacing w:after="80"/>
        <w:jc w:val="both"/>
      </w:pPr>
      <w:r>
        <w:t xml:space="preserve">Geolocalización del dispositivo al momento del cierre</w:t>
      </w:r>
    </w:p>
    <w:p>
      <w:pPr>
        <w:pStyle w:val="ListParagraph"/>
        <w:numPr>
          <w:ilvl w:val="0"/>
          <w:numId w:val="2"/>
        </w:numPr>
        <w:spacing w:after="80"/>
        <w:jc w:val="both"/>
      </w:pPr>
      <w:r>
        <w:t xml:space="preserve">Mezcla calculada completa</w:t>
      </w:r>
    </w:p>
    <w:p>
      <w:pPr>
        <w:pStyle w:val="ListParagraph"/>
        <w:numPr>
          <w:ilvl w:val="0"/>
          <w:numId w:val="2"/>
        </w:numPr>
        <w:spacing w:after="80"/>
        <w:jc w:val="both"/>
      </w:pPr>
      <w:r>
        <w:t xml:space="preserve">Resultado de validación técnica y ambiental</w:t>
      </w:r>
    </w:p>
    <w:p>
      <w:pPr>
        <w:pStyle w:val="ListParagraph"/>
        <w:numPr>
          <w:ilvl w:val="0"/>
          <w:numId w:val="2"/>
        </w:numPr>
        <w:spacing w:after="80"/>
        <w:jc w:val="both"/>
      </w:pPr>
      <w:r>
        <w:t xml:space="preserve">Decisión final: aplicar, postergar, override (con motivo)</w:t>
      </w:r>
    </w:p>
    <w:p>
      <w:pPr>
        <w:pStyle w:val="ListParagraph"/>
        <w:numPr>
          <w:ilvl w:val="0"/>
          <w:numId w:val="2"/>
        </w:numPr>
        <w:spacing w:after="80"/>
        <w:jc w:val="both"/>
      </w:pPr>
      <w:r>
        <w:t xml:space="preserve">Hash de integridad del registro (para auditoría posterior)</w:t>
      </w:r>
    </w:p>
    <w:p>
      <w:pPr>
        <w:spacing w:after="120"/>
        <w:jc w:val="both"/>
      </w:pPr>
      <w:r>
        <w:rPr>
          <w:b/>
          <w:bCs/>
        </w:rPr>
        <w:t xml:space="preserve">Diferenciación entre fumigaciones siguiendo recomendación vs. override. </w:t>
      </w:r>
      <w:r>
        <w:t xml:space="preserve">El campo tipo_decision registra explícitamente: recomendacion_seguida (verde, aplicado), precaución_aceptada (amarillo, aplicado), override_alerta_roja (rojo, aplicado con justificación) o postergada (cualquier estado, no aplicada). Esto permite al supervisor y al agricultor consultar en el dashboard cuántas fumigaciones se hicieron en cada categoría.</w:t>
      </w:r>
    </w:p>
    <w:p>
      <w:pPr>
        <w:spacing w:after="120"/>
        <w:jc w:val="both"/>
      </w:pPr>
      <w:r>
        <w:rPr>
          <w:b/>
          <w:bCs/>
        </w:rPr>
        <w:t xml:space="preserve">Salidas. </w:t>
      </w:r>
      <w:r>
        <w:t xml:space="preserve">Panel pre-fumigación renderizado en pantalla, registro de bitácora persistido, notificación de cierre al supervisor (si está configurada).</w:t>
      </w:r>
    </w:p>
    <w:p>
      <w:pPr>
        <w:spacing w:after="120"/>
        <w:jc w:val="both"/>
      </w:pPr>
      <w:r>
        <w:rPr>
          <w:b/>
          <w:bCs/>
        </w:rPr>
        <w:t xml:space="preserve">Fuentes de datos. </w:t>
      </w:r>
      <w:r>
        <w:t xml:space="preserve">Salidas de los módulos 3 y 4, GPS, sistema de autenticación.</w:t>
      </w:r>
    </w:p>
    <w:p>
      <w:pPr>
        <w:spacing w:after="120"/>
        <w:jc w:val="both"/>
      </w:pPr>
      <w:r>
        <w:rPr>
          <w:b/>
          <w:bCs/>
        </w:rPr>
        <w:t xml:space="preserve">Manejo de errores. </w:t>
      </w:r>
      <w:r>
        <w:t xml:space="preserve">Si el registro de bitácora falla por pérdida de conectividad, se guarda localmente y se sincroniza en cuanto se recupere la red, conservando el timestamp original. La integridad del registro se garantiza con un hash que detecta modificaciones posteriores.</w:t>
      </w:r>
    </w:p>
    <w:p>
      <w:pPr>
        <w:spacing w:after="120"/>
        <w:jc w:val="both"/>
      </w:pPr>
      <w:r>
        <w:rPr>
          <w:b/>
          <w:bCs/>
        </w:rPr>
        <w:t xml:space="preserve">Criterio de aceptación. </w:t>
      </w:r>
      <w:r>
        <w:t xml:space="preserve">El 100 % de los overrides sobre alerta roja exigen confirmación con motivo de al menos 20 caracteres; el 100 % de las sesiones quedan registradas en bitácora con todos los campos requeridos; el campo tipo_decision permite filtrar el historial por categoría.</w:t>
      </w:r>
    </w:p>
    <w:p>
      <w:pPr>
        <w:pStyle w:val="Heading3"/>
        <w:keepNext/>
        <w:spacing w:after="140" w:before="280"/>
      </w:pPr>
      <w:r>
        <w:rPr>
          <w:b/>
          <w:bCs/>
          <w:color w:val="1F4E78"/>
          <w:sz w:val="26"/>
          <w:szCs w:val="26"/>
        </w:rPr>
        <w:t xml:space="preserve">Módulo 6 — Reportes y analítica</w:t>
      </w:r>
    </w:p>
    <w:p>
      <w:pPr>
        <w:spacing w:after="120"/>
        <w:jc w:val="both"/>
      </w:pPr>
      <w:r>
        <w:rPr>
          <w:b/>
          <w:bCs/>
        </w:rPr>
        <w:t xml:space="preserve">Propósito. </w:t>
      </w:r>
      <w:r>
        <w:t xml:space="preserve">Permitir al cliente consultar el historial de fumigaciones, exportar evidencia para soporte normativo y obtener indicadores de gestión del uso de agroquímicos.</w:t>
      </w:r>
    </w:p>
    <w:p>
      <w:pPr>
        <w:spacing w:after="120"/>
        <w:jc w:val="both"/>
      </w:pPr>
      <w:r>
        <w:rPr>
          <w:b/>
          <w:bCs/>
        </w:rPr>
        <w:t xml:space="preserve">Entradas. </w:t>
      </w:r>
      <w:r>
        <w:t xml:space="preserve">Bitácora histórica completa (acumulada por todas las sesiones).</w:t>
      </w:r>
    </w:p>
    <w:p>
      <w:pPr>
        <w:spacing w:after="80" w:before="120"/>
      </w:pPr>
      <w:r>
        <w:rPr>
          <w:b/>
          <w:bCs/>
        </w:rPr>
        <w:t xml:space="preserve">Funcionalidades.</w:t>
      </w:r>
    </w:p>
    <w:p>
      <w:pPr>
        <w:spacing w:after="120"/>
        <w:jc w:val="both"/>
      </w:pPr>
      <w:r>
        <w:rPr>
          <w:b/>
          <w:bCs/>
        </w:rPr>
        <w:t xml:space="preserve">(1) Reporte por sesión (exportable). </w:t>
      </w:r>
      <w:r>
        <w:t xml:space="preserve">Genera un PDF o Excel con los datos completos de una sesión específica: fecha, lote, productos aplicados con dosis, mezcla validada, condiciones ambientales registradas, decisiones tomadas, identificación del operador y firma digital del sistema. Diseñado para servir como soporte ante inspecciones del ICA, CAM o ANLA.</w:t>
      </w:r>
    </w:p>
    <w:p>
      <w:pPr>
        <w:spacing w:after="120"/>
        <w:jc w:val="both"/>
      </w:pPr>
      <w:r>
        <w:rPr>
          <w:b/>
          <w:bCs/>
        </w:rPr>
        <w:t xml:space="preserve">(2) Dashboard de KPIs por temporada. </w:t>
      </w:r>
      <w:r>
        <w:t xml:space="preserve">Consolida los datos de un rango de fechas configurable y calcula:</w:t>
      </w:r>
    </w:p>
    <w:p>
      <w:pPr>
        <w:shd w:fill="F5F5F5" w:color="auto" w:val="clear"/>
        <w:spacing w:after="0" w:line="240"/>
        <w:ind w:left="360"/>
      </w:pPr>
      <w:r>
        <w:rPr>
          <w:rFonts w:ascii="Consolas" w:cs="Consolas" w:eastAsia="Consolas" w:hAnsi="Consolas"/>
          <w:sz w:val="18"/>
          <w:szCs w:val="18"/>
        </w:rPr>
        <w:t xml:space="preserve">KPI_consumo_producto (L)       = Σ dosis_aplicada por temporada, por producto</w:t>
      </w:r>
    </w:p>
    <w:p>
      <w:pPr>
        <w:shd w:fill="F5F5F5" w:color="auto" w:val="clear"/>
        <w:spacing w:after="0" w:line="240"/>
        <w:ind w:left="360"/>
      </w:pPr>
      <w:r>
        <w:rPr>
          <w:rFonts w:ascii="Consolas" w:cs="Consolas" w:eastAsia="Consolas" w:hAnsi="Consolas"/>
          <w:sz w:val="18"/>
          <w:szCs w:val="18"/>
        </w:rPr>
        <w:t xml:space="preserve">KPI_reducción_vs_AS-IS (%)     = (consumo_AS_IS − consumo_AgroSmart) /</w:t>
      </w:r>
    </w:p>
    <w:p>
      <w:pPr>
        <w:shd w:fill="F5F5F5" w:color="auto" w:val="clear"/>
        <w:spacing w:after="0" w:line="240"/>
        <w:ind w:left="360"/>
      </w:pPr>
      <w:r>
        <w:rPr>
          <w:rFonts w:ascii="Consolas" w:cs="Consolas" w:eastAsia="Consolas" w:hAnsi="Consolas"/>
          <w:sz w:val="18"/>
          <w:szCs w:val="18"/>
        </w:rPr>
        <w:t xml:space="preserve">                                 consumo_AS_IS × 100</w:t>
      </w:r>
    </w:p>
    <w:p>
      <w:pPr>
        <w:shd w:fill="F5F5F5" w:color="auto" w:val="clear"/>
        <w:spacing w:after="0" w:line="240"/>
        <w:ind w:left="360"/>
      </w:pPr>
      <w:r>
        <w:rPr>
          <w:rFonts w:ascii="Consolas" w:cs="Consolas" w:eastAsia="Consolas" w:hAnsi="Consolas"/>
          <w:sz w:val="18"/>
          <w:szCs w:val="18"/>
        </w:rPr>
        <w:t xml:space="preserve">KPI_alertas_atendidas (%)      = sesiones_con_recomendación_seguida /</w:t>
      </w:r>
    </w:p>
    <w:p>
      <w:pPr>
        <w:shd w:fill="F5F5F5" w:color="auto" w:val="clear"/>
        <w:spacing w:after="0" w:line="240"/>
        <w:ind w:left="360"/>
      </w:pPr>
      <w:r>
        <w:rPr>
          <w:rFonts w:ascii="Consolas" w:cs="Consolas" w:eastAsia="Consolas" w:hAnsi="Consolas"/>
          <w:sz w:val="18"/>
          <w:szCs w:val="18"/>
        </w:rPr>
        <w:t xml:space="preserve">                                 total_sesiones × 100</w:t>
      </w:r>
    </w:p>
    <w:p>
      <w:pPr>
        <w:shd w:fill="F5F5F5" w:color="auto" w:val="clear"/>
        <w:spacing w:after="0" w:line="240"/>
        <w:ind w:left="360"/>
      </w:pPr>
      <w:r>
        <w:rPr>
          <w:rFonts w:ascii="Consolas" w:cs="Consolas" w:eastAsia="Consolas" w:hAnsi="Consolas"/>
          <w:sz w:val="18"/>
          <w:szCs w:val="18"/>
        </w:rPr>
        <w:t xml:space="preserve">KPI_overrides_alertas_rojas    = conteo de sesiones con override_alerta_roja</w:t>
      </w:r>
    </w:p>
    <w:p>
      <w:pPr>
        <w:shd w:fill="F5F5F5" w:color="auto" w:val="clear"/>
        <w:spacing w:after="0" w:line="240"/>
        <w:ind w:left="360"/>
      </w:pPr>
      <w:r>
        <w:rPr>
          <w:rFonts w:ascii="Consolas" w:cs="Consolas" w:eastAsia="Consolas" w:hAnsi="Consolas"/>
          <w:sz w:val="18"/>
          <w:szCs w:val="18"/>
        </w:rPr>
        <w:t xml:space="preserve">KPI_fumigaciones_postergadas   = conteo de sesiones postergadas por alertas</w:t>
      </w:r>
    </w:p>
    <w:p>
      <w:pPr>
        <w:shd w:fill="F5F5F5" w:color="auto" w:val="clear"/>
        <w:spacing w:after="0" w:line="240"/>
        <w:ind w:left="360"/>
      </w:pPr>
      <w:r>
        <w:rPr>
          <w:rFonts w:ascii="Consolas" w:cs="Consolas" w:eastAsia="Consolas" w:hAnsi="Consolas"/>
          <w:sz w:val="18"/>
          <w:szCs w:val="18"/>
        </w:rPr>
        <w:t xml:space="preserve">KPI_cumplimiento_normativo (%) = sesiones con concentración dentro de etiqueta /</w:t>
      </w:r>
    </w:p>
    <w:p>
      <w:pPr>
        <w:shd w:fill="F5F5F5" w:color="auto" w:val="clear"/>
        <w:spacing w:after="0" w:line="240"/>
        <w:ind w:left="360"/>
      </w:pPr>
      <w:r>
        <w:rPr>
          <w:rFonts w:ascii="Consolas" w:cs="Consolas" w:eastAsia="Consolas" w:hAnsi="Consolas"/>
          <w:sz w:val="18"/>
          <w:szCs w:val="18"/>
        </w:rPr>
        <w:t xml:space="preserve">                                 total × 100</w:t>
      </w:r>
    </w:p>
    <w:p>
      <w:pPr>
        <w:spacing w:after="60"/>
      </w:pPr>
      <w:r>
        <w:t xml:space="preserve"/>
      </w:r>
    </w:p>
    <w:p>
      <w:pPr>
        <w:spacing w:after="120"/>
        <w:jc w:val="both"/>
      </w:pPr>
      <w:r>
        <w:rPr>
          <w:b/>
          <w:bCs/>
        </w:rPr>
        <w:t xml:space="preserve">(3) Histórico filtrable. </w:t>
      </w:r>
      <w:r>
        <w:t xml:space="preserve">El usuario puede filtrar el historial por: rango de fechas, lote, producto aplicado, tipo de decisión (verde/amarillo/override) o usuario que ejecutó la sesión.</w:t>
      </w:r>
    </w:p>
    <w:p>
      <w:pPr>
        <w:spacing w:after="120"/>
        <w:jc w:val="both"/>
      </w:pPr>
      <w:r>
        <w:rPr>
          <w:b/>
          <w:bCs/>
        </w:rPr>
        <w:t xml:space="preserve">Salidas. </w:t>
      </w:r>
      <w:r>
        <w:t xml:space="preserve">Archivos PDF y Excel descargables; visualización del dashboard con gráficas de evolución temporal.</w:t>
      </w:r>
    </w:p>
    <w:p>
      <w:pPr>
        <w:spacing w:after="120"/>
        <w:jc w:val="both"/>
      </w:pPr>
      <w:r>
        <w:rPr>
          <w:b/>
          <w:bCs/>
        </w:rPr>
        <w:t xml:space="preserve">Fuentes de datos. </w:t>
      </w:r>
      <w:r>
        <w:t xml:space="preserve">Bitácora persistida en base de datos central (MySQL), librería de generación de reportes (ReportLab), librería de visualización (Recharts o equivalente en la web complementaria).</w:t>
      </w:r>
    </w:p>
    <w:p>
      <w:pPr>
        <w:spacing w:after="120"/>
        <w:jc w:val="both"/>
      </w:pPr>
      <w:r>
        <w:rPr>
          <w:b/>
          <w:bCs/>
        </w:rPr>
        <w:t xml:space="preserve">Manejo de errores. </w:t>
      </w:r>
      <w:r>
        <w:t xml:space="preserve">Si la base central no está disponible, el módulo permite exportar solo los registros locales (SQLite del dispositivo), advirtiendo que el historial está incompleto.</w:t>
      </w:r>
    </w:p>
    <w:p>
      <w:pPr>
        <w:spacing w:after="120"/>
        <w:jc w:val="both"/>
      </w:pPr>
      <w:r>
        <w:rPr>
          <w:b/>
          <w:bCs/>
        </w:rPr>
        <w:t xml:space="preserve">Criterio de aceptación. </w:t>
      </w:r>
      <w:r>
        <w:t xml:space="preserve">El reporte exportable contiene los 12 campos obligatorios definidos en el contrato de bitácora; el dashboard calcula los 6 KPIs sin errores para los datos de prueba del piloto; el filtrado del histórico responde en ≤ 1 segundo para volúmenes de hasta 200 sesiones.</w:t>
      </w:r>
    </w:p>
    <w:p>
      <w:pPr>
        <w:pStyle w:val="Heading2"/>
        <w:spacing w:after="120" w:before="280"/>
      </w:pPr>
      <w:r>
        <w:rPr>
          <w:b/>
          <w:bCs/>
          <w:color w:val="1F4E78"/>
          <w:sz w:val="28"/>
          <w:szCs w:val="28"/>
        </w:rPr>
        <w:t xml:space="preserve">Resumen del anexo</w:t>
      </w:r>
    </w:p>
    <w:p>
      <w:pPr>
        <w:spacing w:after="120"/>
        <w:jc w:val="both"/>
      </w:pPr>
      <w:r>
        <w:t xml:space="preserve">Las seis fichas anteriores documentan la lógica técnica completa de AgroSmart: 18 fórmulas matemáticas explícitas, 11 reglas IF-THEN con sustento técnico, 4 modelos de scoring (validación, semáforo, KPIs y combinación de severidades) y 22 criterios de aceptación verificables en el piloto. Las fuentes de datos consumidas se gobiernan según la Tabla X del cuerpo del informe (sección 8.4.2). Esta especificación constituye la base contractual de funcionalidad del sistema y será refinada con el agrónomo durante el plan de validación.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80" w:before="180"/>
      <w:outlineLvl w:val="1"/>
    </w:pPr>
    <w:rPr>
      <w:rFonts w:ascii="Calibri" w:cs="Calibri" w:eastAsia="Calibri" w:hAnsi="Calibri"/>
      <w:b/>
      <w:bCs/>
      <w:color w:val="1F4E78"/>
      <w:sz w:val="28"/>
      <w:szCs w:val="28"/>
    </w:rPr>
  </w:style>
  <w:style w:type="paragraph" w:styleId="Heading3">
    <w:name w:val="Heading 3"/>
    <w:basedOn w:val="Normal"/>
    <w:next w:val="Normal"/>
    <w:qFormat/>
    <w:pPr>
      <w:spacing w:after="120" w:before="160"/>
      <w:outlineLvl w:val="2"/>
    </w:pPr>
    <w:rPr>
      <w:rFonts w:ascii="Calibri" w:cs="Calibri" w:eastAsia="Calibri" w:hAnsi="Calibri"/>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Especificación detallada de los módulos de AgroSmart</dc:title>
  <dc:creator>AgroSmart - Equipo 4 PII</dc:creator>
  <cp:lastModifiedBy>Un-named</cp:lastModifiedBy>
  <cp:revision>1</cp:revision>
  <dcterms:created xsi:type="dcterms:W3CDTF">2026-05-14T02:19:27.679Z</dcterms:created>
  <dcterms:modified xsi:type="dcterms:W3CDTF">2026-05-14T02:19:27.680Z</dcterms:modified>
</cp:coreProperties>
</file>

<file path=docProps/custom.xml><?xml version="1.0" encoding="utf-8"?>
<Properties xmlns="http://schemas.openxmlformats.org/officeDocument/2006/custom-properties" xmlns:vt="http://schemas.openxmlformats.org/officeDocument/2006/docPropsVTypes"/>
</file>