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7.png" ContentType="image/png"/>
  <Override PartName="/word/media/rId31.png" ContentType="image/png"/>
  <Override PartName="/word/media/rId49.png" ContentType="image/png"/>
  <Override PartName="/word/media/rId24.png" ContentType="image/png"/>
  <Override PartName="/word/media/rId43.png" ContentType="image/png"/>
  <Override PartName="/word/media/rId2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Focus-Glue-Context Fisheye Transformations for Spatial Visualization</w:t>
      </w:r>
    </w:p>
    <w:p>
      <w:pPr>
        <w:pStyle w:val="Date"/>
      </w:pPr>
      <w:r>
        <w:t xml:space="preserve">2025-10-30</w:t>
      </w:r>
    </w:p>
    <w:p>
      <w:pPr>
        <w:pStyle w:val="AbstractTitle"/>
      </w:pPr>
      <w:r>
        <w:t xml:space="preserve">Abstract</w:t>
      </w:r>
    </w:p>
    <w:p>
      <w:pPr>
        <w:pStyle w:val="Abstract"/>
      </w:pPr>
      <w:r>
        <w:t xml:space="preserve">Fisheye views magnify local detail while preserving context, yet projection-aware, scriptable tools for R spatial analysis remain limited. mapycusmaximus introduces a Focus–Glue–Context (FGC) fisheye transform for numeric coordinates and sf geometries. Acting radially around a chosen center, the transform defines a magnified focus (r_in), a smooth transitional glue zone (r_out), and a fixed exterior. Distances expand or compress via a zoom factor and a power-law squeeze, with an optional angular twist that enhances continuity. The method is projection-conscious: lon/lat inputs are reprojected to suitable CRSs (e.g., GDA2020/MGA55), normalized for stable parameter control, and restored afterward. A geometry-safe engine (st_transform_custom) supports all feature types, maintaining ring closure and metadata. The high-level sf_fisheye() integrates with tidyverse, ggplot2, and Shiny, with built-in datasets and tests ensuring reproducibility. By coupling coherent radial warps with tidy, CRS-aware workflows, mapycusmaximus enables spatial exploration that emphasizes local structure without losing global context.</w:t>
      </w:r>
    </w:p>
    <w:bookmarkStart w:id="20" w:name="introduction"/>
    <w:p>
      <w:pPr>
        <w:pStyle w:val="Heading1"/>
      </w:pPr>
      <w:r>
        <w:t xml:space="preserve">Introduction</w:t>
      </w:r>
    </w:p>
    <w:p>
      <w:pPr>
        <w:pStyle w:val="FirstParagraph"/>
      </w:pPr>
      <w:r>
        <w:t xml:space="preserve">Maps that reveal fine local structure without losing broader context face a persistent challenge: zooming in hides regional patterns, while small-scale views suppress local detail. Traditional solutions—insets, multi-panel displays, aggressive generalization—break spatial continuity and increase cognitive load. What if we could smoothly magnify a metropolitan core</w:t>
      </w:r>
      <w:r>
        <w:t xml:space="preserve"> </w:t>
      </w:r>
      <w:r>
        <w:rPr>
          <w:i/>
          <w:iCs/>
        </w:rPr>
        <w:t xml:space="preserve">while keeping it embedded</w:t>
      </w:r>
      <w:r>
        <w:t xml:space="preserve"> </w:t>
      </w:r>
      <w:r>
        <w:t xml:space="preserve">in its state-level context?</w:t>
      </w:r>
    </w:p>
    <w:p>
      <w:pPr>
        <w:pStyle w:val="BodyText"/>
      </w:pPr>
      <w:r>
        <w:t xml:space="preserve">This package implements a Focus–Glue–Context (FGC) fisheye transformation that continuously warps geographic space. The transformation magnifies a chosen focus region, compresses surrounding areas into a transitional glue zone, and maintains stability in the outer context. In contrast to discrete zoom levels or disconnected insets, this approach operates directly on vector geometry coordinates, preserves topology, and supports reproducible, pipeline-oriented cartography within the R sf and ggplot2 ecosystem.</w:t>
      </w:r>
    </w:p>
    <w:p>
      <w:pPr>
        <w:pStyle w:val="BodyText"/>
      </w:pPr>
      <w:r>
        <w:t xml:space="preserve">The intellectual lineage of focus+context visualization traces back to</w:t>
      </w:r>
      <w:r>
        <w:t xml:space="preserve"> </w:t>
      </w:r>
      <w:r>
        <w:t xml:space="preserve">Furnas (1986)</w:t>
      </w:r>
      <w:r>
        <w:t xml:space="preserve">’s</w:t>
      </w:r>
      <w:r>
        <w:t xml:space="preserve"> </w:t>
      </w:r>
      <w:r>
        <w:rPr>
          <w:i/>
          <w:iCs/>
        </w:rPr>
        <w:t xml:space="preserve">degree-of-interest</w:t>
      </w:r>
      <w:r>
        <w:t xml:space="preserve"> </w:t>
      </w:r>
      <w:r>
        <w:t xml:space="preserve">function, which formalized how to prioritize salient regions while retaining global structure.</w:t>
      </w:r>
      <w:r>
        <w:t xml:space="preserve"> </w:t>
      </w:r>
      <w:r>
        <w:t xml:space="preserve">Sarkar and Brown (1992)</w:t>
      </w:r>
      <w:r>
        <w:t xml:space="preserve"> </w:t>
      </w:r>
      <w:r>
        <w:t xml:space="preserve">and</w:t>
      </w:r>
      <w:r>
        <w:t xml:space="preserve"> </w:t>
      </w:r>
      <w:r>
        <w:t xml:space="preserve">Sarkar and Brown (1994)</w:t>
      </w:r>
      <w:r>
        <w:t xml:space="preserve"> </w:t>
      </w:r>
      <w:r>
        <w:t xml:space="preserve">extended this to geometric distortion, demonstrating smooth magnification transitions for graph visualization. Subsequent innovations explored diverse lenses: hyperbolic geometry for hierarchies</w:t>
      </w:r>
      <w:r>
        <w:t xml:space="preserve"> </w:t>
      </w:r>
      <w:r>
        <w:t xml:space="preserve">(Lamping, Rao, and Pirolli 1995)</w:t>
      </w:r>
      <w:r>
        <w:t xml:space="preserve">, distortion-view frameworks</w:t>
      </w:r>
      <w:r>
        <w:t xml:space="preserve"> </w:t>
      </w:r>
      <w:r>
        <w:t xml:space="preserve">(Carpendale and Montagnese 2001)</w:t>
      </w:r>
      <w:r>
        <w:t xml:space="preserve">, and</w:t>
      </w:r>
      <w:r>
        <w:t xml:space="preserve"> </w:t>
      </w:r>
      <w:r>
        <w:t xml:space="preserve">“magic lens”</w:t>
      </w:r>
      <w:r>
        <w:t xml:space="preserve"> </w:t>
      </w:r>
      <w:r>
        <w:t xml:space="preserve">overlays</w:t>
      </w:r>
      <w:r>
        <w:t xml:space="preserve"> </w:t>
      </w:r>
      <w:r>
        <w:t xml:space="preserve">(Bier et al. 1993)</w:t>
      </w:r>
      <w:r>
        <w:t xml:space="preserve">. By 2008,</w:t>
      </w:r>
      <w:r>
        <w:t xml:space="preserve"> </w:t>
      </w:r>
      <w:r>
        <w:t xml:space="preserve">Cockburn, Karlson, and Bederson (2008)</w:t>
      </w:r>
      <w:r>
        <w:t xml:space="preserve">’s comprehensive review synthesized two decades of research across overview+detail, zooming, and focus+context paradigms.</w:t>
      </w:r>
    </w:p>
    <w:p>
      <w:pPr>
        <w:pStyle w:val="BodyText"/>
      </w:pPr>
      <w:r>
        <w:t xml:space="preserve">In cartography, the need for nonlinear magnification emerged independently.</w:t>
      </w:r>
      <w:r>
        <w:t xml:space="preserve"> </w:t>
      </w:r>
      <w:r>
        <w:t xml:space="preserve">Snyder (1987)</w:t>
      </w:r>
      <w:r>
        <w:t xml:space="preserve"> </w:t>
      </w:r>
      <w:r>
        <w:t xml:space="preserve">developed</w:t>
      </w:r>
      <w:r>
        <w:t xml:space="preserve"> </w:t>
      </w:r>
      <w:r>
        <w:t xml:space="preserve">“magnifying-glass”</w:t>
      </w:r>
      <w:r>
        <w:t xml:space="preserve"> </w:t>
      </w:r>
      <w:r>
        <w:t xml:space="preserve">azimuthal projections with variable radial scales—mathematical foundations still cited today.</w:t>
      </w:r>
      <w:r>
        <w:t xml:space="preserve"> </w:t>
      </w:r>
      <w:r>
        <w:t xml:space="preserve">Harrie, Sarjakoski, and Lehto (2002)</w:t>
      </w:r>
      <w:r>
        <w:t xml:space="preserve"> </w:t>
      </w:r>
      <w:r>
        <w:t xml:space="preserve">created variable-scale functions for mobile devices where user position appears large-scale against small-scale surroundings. The crucial breakthrough came from</w:t>
      </w:r>
      <w:r>
        <w:t xml:space="preserve"> </w:t>
      </w:r>
      <w:r>
        <w:t xml:space="preserve">Yamamoto, Ozeki, and Takahashi (2009)</w:t>
      </w:r>
      <w:r>
        <w:t xml:space="preserve"> </w:t>
      </w:r>
      <w:r>
        <w:t xml:space="preserve">and</w:t>
      </w:r>
      <w:r>
        <w:t xml:space="preserve"> </w:t>
      </w:r>
      <w:r>
        <w:t xml:space="preserve">Yamamoto et al. (2012)</w:t>
      </w:r>
      <w:r>
        <w:t xml:space="preserve">: their</w:t>
      </w:r>
      <w:r>
        <w:t xml:space="preserve"> </w:t>
      </w:r>
      <w:r>
        <w:rPr>
          <w:b/>
          <w:bCs/>
        </w:rPr>
        <w:t xml:space="preserve">Focus+Glue+Context model</w:t>
      </w:r>
      <w:r>
        <w:t xml:space="preserve"> </w:t>
      </w:r>
      <w:r>
        <w:t xml:space="preserve">introduced an intermediate</w:t>
      </w:r>
      <w:r>
        <w:t xml:space="preserve"> </w:t>
      </w:r>
      <w:r>
        <w:t xml:space="preserve">“glue”</w:t>
      </w:r>
      <w:r>
        <w:t xml:space="preserve"> </w:t>
      </w:r>
      <w:r>
        <w:t xml:space="preserve">region that absorbs distortion, preventing the excessively warped roads and boundaries that plagued earlier fisheye maps. This three-zone architecture proved particularly effective for pedestrian navigation and mobile web services.</w:t>
      </w:r>
    </w:p>
    <w:p>
      <w:pPr>
        <w:pStyle w:val="BodyText"/>
      </w:pPr>
      <w:r>
        <w:t xml:space="preserve">Parallel developments in statistical graphics tackled the</w:t>
      </w:r>
      <w:r>
        <w:t xml:space="preserve"> </w:t>
      </w:r>
      <w:r>
        <w:t xml:space="preserve">“crowding problem”</w:t>
      </w:r>
      <w:r>
        <w:t xml:space="preserve">—high-dimensional data collapsing into projection centers.</w:t>
      </w:r>
      <w:r>
        <w:t xml:space="preserve"> </w:t>
      </w:r>
      <w:r>
        <w:t xml:space="preserve">Maaten and Hinton (2008)</w:t>
      </w:r>
      <w:r>
        <w:t xml:space="preserve">’s t-SNE uses heavy-tailed distributions to spread points, while</w:t>
      </w:r>
      <w:r>
        <w:t xml:space="preserve"> </w:t>
      </w:r>
      <w:r>
        <w:t xml:space="preserve">McInnes, Healy, and Melville (2020)</w:t>
      </w:r>
      <w:r>
        <w:t xml:space="preserve">’s UMAP leverages topological methods. Most relevant to our geometric approach:</w:t>
      </w:r>
      <w:r>
        <w:t xml:space="preserve"> </w:t>
      </w:r>
      <w:r>
        <w:t xml:space="preserve">Laa, Cook, and Lee (2020)</w:t>
      </w:r>
      <w:r>
        <w:t xml:space="preserve"> </w:t>
      </w:r>
      <w:r>
        <w:t xml:space="preserve">applies</w:t>
      </w:r>
      <w:r>
        <w:t xml:space="preserve"> </w:t>
      </w:r>
      <w:r>
        <w:rPr>
          <w:i/>
          <w:iCs/>
        </w:rPr>
        <w:t xml:space="preserve">radial transformations</w:t>
      </w:r>
      <w:r>
        <w:t xml:space="preserve"> </w:t>
      </w:r>
      <w:r>
        <w:t xml:space="preserve">to tour projections, maintaining the interpretability of linear methods while mitigating overplotting. Implemented in R’s tourr package, it demonstrates how well-designed radial warps can reveal structure without the distortions of fully nonlinear embeddings.</w:t>
      </w:r>
    </w:p>
    <w:p>
      <w:pPr>
        <w:pStyle w:val="BodyText"/>
      </w:pPr>
      <w:r>
        <w:t xml:space="preserve">Within R’s spatial ecosystem, sf</w:t>
      </w:r>
      <w:r>
        <w:t xml:space="preserve"> </w:t>
      </w:r>
      <w:r>
        <w:t xml:space="preserve">(Pebesma 2018)</w:t>
      </w:r>
      <w:r>
        <w:t xml:space="preserve"> </w:t>
      </w:r>
      <w:r>
        <w:t xml:space="preserve">provides robust vector handling and CRS transformations, while ggplot2</w:t>
      </w:r>
      <w:r>
        <w:t xml:space="preserve"> </w:t>
      </w:r>
      <w:r>
        <w:t xml:space="preserve">(Wickham 2016)</w:t>
      </w:r>
      <w:r>
        <w:t xml:space="preserve"> </w:t>
      </w:r>
      <w:r>
        <w:t xml:space="preserve">offers declarative visualization grammar. Yet a gap remained: existing tools addressed</w:t>
      </w:r>
      <w:r>
        <w:t xml:space="preserve"> </w:t>
      </w:r>
      <w:r>
        <w:rPr>
          <w:i/>
          <w:iCs/>
        </w:rPr>
        <w:t xml:space="preserve">related</w:t>
      </w:r>
      <w:r>
        <w:t xml:space="preserve"> </w:t>
      </w:r>
      <w:r>
        <w:t xml:space="preserve">distortion needs but not continuous geometric fisheye lenses. This package fills that niche by formalizing an sf-native FGC radial model with controllable zone parameters, optional angular effects, automatic normalization, and safe geometry handling across points, lines, and polygons.</w:t>
      </w:r>
    </w:p>
    <w:bookmarkEnd w:id="20"/>
    <w:bookmarkStart w:id="30" w:name="Xbe7855166aac4cb6b5e4724e7a0536cbed15a03"/>
    <w:p>
      <w:pPr>
        <w:pStyle w:val="Heading1"/>
      </w:pPr>
      <w:r>
        <w:t xml:space="preserve">Background: Alternative Approaches to the Detail-Context Problem</w:t>
      </w:r>
    </w:p>
    <w:p>
      <w:pPr>
        <w:pStyle w:val="FirstParagraph"/>
      </w:pPr>
      <w:r>
        <w:t xml:space="preserve">Before examining the mechanics of fisheye transformations, it is important to review how R’s spatial ecosystem currently addresses the detail-versus-context tradeoff. This context clarifies why existing solutions, though valuable, do not fully address the need for continuous lens-based warping.</w:t>
      </w:r>
    </w:p>
    <w:p>
      <w:pPr>
        <w:pStyle w:val="BodyText"/>
      </w:pPr>
      <w:r>
        <w:rPr>
          <w:b/>
          <w:bCs/>
        </w:rPr>
        <w:t xml:space="preserve">Cartograms: Thematic distortion.</w:t>
      </w:r>
      <w:r>
        <w:t xml:space="preserve"> </w:t>
      </w:r>
      <w:r>
        <w:t xml:space="preserve">The cartogram family</w:t>
      </w:r>
      <w:r>
        <w:t xml:space="preserve"> </w:t>
      </w:r>
      <w:r>
        <w:t xml:space="preserve">(Gastner and Newman 2004)</w:t>
      </w:r>
      <w:r>
        <w:t xml:space="preserve"> </w:t>
      </w:r>
      <w:r>
        <w:t xml:space="preserve">intentionally distorts geographic areas to encode variables—population density reshapes regions so area becomes proportional to demographic weight.</w:t>
      </w:r>
    </w:p>
    <w:p>
      <w:pPr>
        <w:pStyle w:val="BodyText"/>
      </w:pPr>
      <w:r>
        <w:drawing>
          <wp:inline>
            <wp:extent cx="4620126" cy="3696101"/>
            <wp:effectExtent b="0" l="0" r="0" t="0"/>
            <wp:docPr descr="" title="" id="22" name="Picture"/>
            <a:graphic>
              <a:graphicData uri="http://schemas.openxmlformats.org/drawingml/2006/picture">
                <pic:pic>
                  <pic:nvPicPr>
                    <pic:cNvPr descr="paper-mapycusmaximus_files/figure-docx/plot-car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approach fundamentally differs from focus+context methods. Cartograms substitute spatial accuracy for data encoding, often severely disrupting shapes and adjacencies. For example, a population cartogram enlarges Melbourne while shrinking Mornington, prioritizing thematic insight over geographic fidelity. In contrast, the FGC fisheye transformation preserves relative positions and topology while magnifying a user-selected spatial region rather than a data-driven variable. The use cases are distinct: cartograms address the dominance of a variable in space, whereas fisheye lenses facilitate exploration of local detail within a broader geographic context.</w:t>
      </w:r>
    </w:p>
    <w:p>
      <w:pPr>
        <w:pStyle w:val="BodyText"/>
      </w:pPr>
      <w:r>
        <w:rPr>
          <w:b/>
          <w:bCs/>
        </w:rPr>
        <w:t xml:space="preserve">Hexagon tile maps: Discrete abstraction.</w:t>
      </w:r>
      <w:r>
        <w:t xml:space="preserve"> </w:t>
      </w:r>
      <w:r>
        <w:t xml:space="preserve">Packages like</w:t>
      </w:r>
      <w:r>
        <w:t xml:space="preserve"> </w:t>
      </w:r>
      <w:r>
        <w:rPr>
          <w:rStyle w:val="VerbatimChar"/>
        </w:rPr>
        <w:t xml:space="preserve">geogrid</w:t>
      </w:r>
      <w:r>
        <w:t xml:space="preserve"> </w:t>
      </w:r>
      <w:r>
        <w:t xml:space="preserve">and visualizations using</w:t>
      </w:r>
      <w:r>
        <w:t xml:space="preserve"> </w:t>
      </w:r>
      <w:r>
        <w:rPr>
          <w:rStyle w:val="VerbatimChar"/>
        </w:rPr>
        <w:t xml:space="preserve">sf::st_make_grid()</w:t>
      </w:r>
      <w:r>
        <w:t xml:space="preserve"> </w:t>
      </w:r>
      <w:r>
        <w:t xml:space="preserve">replace irregular polygons with regular hexagonal or square tiles, each representing an administrative unit.</w:t>
      </w:r>
    </w:p>
    <w:p>
      <w:pPr>
        <w:pStyle w:val="BodyText"/>
      </w:pPr>
      <w:r>
        <w:drawing>
          <wp:inline>
            <wp:extent cx="4620126" cy="3696101"/>
            <wp:effectExtent b="0" l="0" r="0" t="0"/>
            <wp:docPr descr="" title="" id="25" name="Picture"/>
            <a:graphic>
              <a:graphicData uri="http://schemas.openxmlformats.org/drawingml/2006/picture">
                <pic:pic>
                  <pic:nvPicPr>
                    <pic:cNvPr descr="paper-mapycusmaximus_files/figure-docx/geo-grid-plot-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in the plot above, tile maps</w:t>
      </w:r>
      <w:r>
        <w:t xml:space="preserve"> </w:t>
      </w:r>
      <w:r>
        <w:rPr>
          <w:i/>
          <w:iCs/>
        </w:rPr>
        <w:t xml:space="preserve">abstracts away</w:t>
      </w:r>
      <w:r>
        <w:t xml:space="preserve"> </w:t>
      </w:r>
      <w:r>
        <w:t xml:space="preserve">precise geography entirely, treating space as a topology-preserving tessellation where</w:t>
      </w:r>
      <w:r>
        <w:t xml:space="preserve"> </w:t>
      </w:r>
      <w:r>
        <w:t xml:space="preserve">“neighbors touch”</w:t>
      </w:r>
      <w:r>
        <w:t xml:space="preserve"> </w:t>
      </w:r>
      <w:r>
        <w:t xml:space="preserve">matters more than accurate boundaries. Tile maps excel at avoiding size bias (Mildura gets equal visual weight to Yarra) and creating aesthetic, clutter-free layouts. However, they abandon continuous spatial relationships: you cannot identify precise locations, measure distances, or overlay point data meaningfully. Hexbin aggregation for point data (via</w:t>
      </w:r>
      <w:r>
        <w:t xml:space="preserve"> </w:t>
      </w:r>
      <w:r>
        <w:rPr>
          <w:rStyle w:val="VerbatimChar"/>
        </w:rPr>
        <w:t xml:space="preserve">ggplot2::geom_hex()</w:t>
      </w:r>
      <w:r>
        <w:t xml:space="preserve">) serves a different purpose—density estimation—rather than focus+context navigation.</w:t>
      </w:r>
    </w:p>
    <w:p>
      <w:pPr>
        <w:pStyle w:val="BodyText"/>
      </w:pPr>
      <w:r>
        <w:rPr>
          <w:b/>
          <w:bCs/>
        </w:rPr>
        <w:t xml:space="preserve">Multi-panel approaches: Spatial separation.</w:t>
      </w:r>
      <w:r>
        <w:t xml:space="preserve"> </w:t>
      </w:r>
      <w:r>
        <w:t xml:space="preserve">Tools like</w:t>
      </w:r>
      <w:r>
        <w:t xml:space="preserve"> </w:t>
      </w:r>
      <w:r>
        <w:rPr>
          <w:rStyle w:val="VerbatimChar"/>
        </w:rPr>
        <w:t xml:space="preserve">cowplot::ggdraw()</w:t>
      </w:r>
      <w:r>
        <w:t xml:space="preserve">(Wilke 2025)</w:t>
      </w:r>
      <w:r>
        <w:t xml:space="preserve"> </w:t>
      </w:r>
      <w:r>
        <w:t xml:space="preserve">create side-by-side views: one panel shows overview, another shows zoomed detail.</w:t>
      </w:r>
    </w:p>
    <w:p>
      <w:pPr>
        <w:pStyle w:val="BodyText"/>
      </w:pPr>
      <w:r>
        <w:drawing>
          <wp:inline>
            <wp:extent cx="4620126" cy="3696101"/>
            <wp:effectExtent b="0" l="0" r="0" t="0"/>
            <wp:docPr descr="" title="" id="28" name="Picture"/>
            <a:graphic>
              <a:graphicData uri="http://schemas.openxmlformats.org/drawingml/2006/picture">
                <pic:pic>
                  <pic:nvPicPr>
                    <pic:cNvPr descr="paper-mapycusmaximus_files/figure-docx/cow-plot-plot-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are effective for static reports but require viewers to mentally integrate separate views, and they don’t preserve the</w:t>
      </w:r>
      <w:r>
        <w:t xml:space="preserve"> </w:t>
      </w:r>
      <w:r>
        <w:rPr>
          <w:i/>
          <w:iCs/>
        </w:rPr>
        <w:t xml:space="preserve">embedded</w:t>
      </w:r>
      <w:r>
        <w:t xml:space="preserve"> </w:t>
      </w:r>
      <w:r>
        <w:t xml:space="preserve">relationship between focus and context within a single continuous geography. Futhermore, if you introduce one or more elements into the plot like filling value equal to a variable, the audience will have a hard time identify the zoomed detail.</w:t>
      </w:r>
    </w:p>
    <w:p>
      <w:pPr>
        <w:pStyle w:val="BodyText"/>
      </w:pPr>
      <w:r>
        <w:rPr>
          <w:b/>
          <w:bCs/>
        </w:rPr>
        <w:t xml:space="preserve">Why FGC fisheye offers something distinct.</w:t>
      </w:r>
      <w:r>
        <w:t xml:space="preserve"> </w:t>
      </w:r>
      <w:r>
        <w:t xml:space="preserve">None of these approaches provide</w:t>
      </w:r>
      <w:r>
        <w:t xml:space="preserve"> </w:t>
      </w:r>
      <w:r>
        <w:rPr>
          <w:i/>
          <w:iCs/>
        </w:rPr>
        <w:t xml:space="preserve">continuous geometric magnification within a single, topology-preserving map</w:t>
      </w:r>
      <w:r>
        <w:t xml:space="preserve">. Cartograms distort for data, not user-chosen focus. Tile maps abstract away geography. Multi-panel tools spatially separate context. The fisheye lens keeps everything in one frame—roads bend smoothly, metropolitan detail enlarges, but you still see how the city sits within its state. It’s a geometric</w:t>
      </w:r>
      <w:r>
        <w:t xml:space="preserve"> </w:t>
      </w:r>
      <w:r>
        <w:rPr>
          <w:i/>
          <w:iCs/>
        </w:rPr>
        <w:t xml:space="preserve">warp</w:t>
      </w:r>
      <w:r>
        <w:t xml:space="preserve"> </w:t>
      </w:r>
      <w:r>
        <w:t xml:space="preserve">rather than a data-driven</w:t>
      </w:r>
      <w:r>
        <w:t xml:space="preserve"> </w:t>
      </w:r>
      <w:r>
        <w:rPr>
          <w:i/>
          <w:iCs/>
        </w:rPr>
        <w:t xml:space="preserve">substitution</w:t>
      </w:r>
      <w:r>
        <w:t xml:space="preserve"> </w:t>
      </w:r>
      <w:r>
        <w:t xml:space="preserve">or panel-based</w:t>
      </w:r>
      <w:r>
        <w:t xml:space="preserve"> </w:t>
      </w:r>
      <w:r>
        <w:rPr>
          <w:i/>
          <w:iCs/>
        </w:rPr>
        <w:t xml:space="preserve">separation</w:t>
      </w:r>
      <w:r>
        <w:t xml:space="preserve">. This matters for use cases like: examining hospital networks in Melbourne while maintaining Victorian context, exploring census tracts in a metro core without losing county boundaries, or analyzing transit lines with their regional hinterland visible.</w:t>
      </w:r>
    </w:p>
    <w:p>
      <w:pPr>
        <w:pStyle w:val="BodyText"/>
      </w:pPr>
      <w:r>
        <w:t xml:space="preserve">With this landscape established, we now turn to the technical implementation: how does the Focus–Glue–Context transformation actually work, and how does this package make it accessible within R’s spatial workflows?</w:t>
      </w:r>
    </w:p>
    <w:bookmarkEnd w:id="30"/>
    <w:bookmarkStart w:id="42" w:name="focusgluecontext-transformation"/>
    <w:p>
      <w:pPr>
        <w:pStyle w:val="Heading1"/>
      </w:pPr>
      <w:r>
        <w:t xml:space="preserve">Focus–Glue–Context Transformation</w:t>
      </w:r>
    </w:p>
    <w:p>
      <w:pPr>
        <w:pStyle w:val="CaptionedFigure"/>
      </w:pPr>
      <w:r>
        <w:drawing>
          <wp:inline>
            <wp:extent cx="4620126" cy="3696101"/>
            <wp:effectExtent b="0" l="0" r="0" t="0"/>
            <wp:docPr descr="The three zones of an FGC transformation. Points inside the focus (red) expand radially; points in the glue (blue) compress toward the focus boundary; context points (gold) remain fixed." title="" id="32" name="Picture"/>
            <a:graphic>
              <a:graphicData uri="http://schemas.openxmlformats.org/drawingml/2006/picture">
                <pic:pic>
                  <pic:nvPicPr>
                    <pic:cNvPr descr="paper-mapycusmaximus_files/figure-docx/fgc-zones-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three zones of an FGC transformation. Points inside the focus (red) expand radially; points in the glue (blue) compress toward the focus boundary; context points (gold) remain fixed.</w:t>
      </w:r>
    </w:p>
    <w:p>
      <w:pPr>
        <w:pStyle w:val="BodyText"/>
      </w:pPr>
      <w:r>
        <w:t xml:space="preserve">Consider a point</w:t>
      </w:r>
      <w:r>
        <w:t xml:space="preserve"> </w:t>
      </w:r>
      <m:oMath>
        <m:r>
          <m:t>P</m:t>
        </m:r>
        <m:r>
          <m:rPr>
            <m:sty m:val="p"/>
          </m:rPr>
          <m:t>=</m:t>
        </m:r>
        <m:d>
          <m:dPr>
            <m:begChr m:val="("/>
            <m:sepChr m:val=""/>
            <m:endChr m:val=")"/>
            <m:grow/>
          </m:dPr>
          <m:e>
            <m:r>
              <m:t>x</m:t>
            </m:r>
            <m:r>
              <m:rPr>
                <m:sty m:val="p"/>
              </m:rPr>
              <m:t>,</m:t>
            </m:r>
            <m:r>
              <m:t>y</m:t>
            </m:r>
          </m:e>
        </m:d>
      </m:oMath>
      <w:r>
        <w:t xml:space="preserve"> </w:t>
      </w:r>
      <w:r>
        <w:t xml:space="preserve">in a projected coordinate system. The analyst chooses a center</w:t>
      </w:r>
      <w:r>
        <w:t xml:space="preserve"> </w:t>
      </w:r>
      <m:oMath>
        <m:r>
          <m:t>C</m:t>
        </m:r>
        <m:r>
          <m:rPr>
            <m:sty m:val="p"/>
          </m:rPr>
          <m:t>=</m:t>
        </m:r>
        <m:d>
          <m:dPr>
            <m:begChr m:val="("/>
            <m:sepChr m:val=""/>
            <m:endChr m:val=")"/>
            <m:grow/>
          </m:dPr>
          <m:e>
            <m:sSub>
              <m:e>
                <m:r>
                  <m:t>c</m:t>
                </m:r>
              </m:e>
              <m:sub>
                <m:r>
                  <m:t>x</m:t>
                </m:r>
              </m:sub>
            </m:sSub>
            <m:r>
              <m:rPr>
                <m:sty m:val="p"/>
              </m:rPr>
              <m:t>,</m:t>
            </m:r>
            <m:sSub>
              <m:e>
                <m:r>
                  <m:t>c</m:t>
                </m:r>
              </m:e>
              <m:sub>
                <m:r>
                  <m:t>y</m:t>
                </m:r>
              </m:sub>
            </m:sSub>
          </m:e>
        </m:d>
      </m:oMath>
      <w:r>
        <w:t xml:space="preserve"> </w:t>
      </w:r>
      <w:r>
        <w:t xml:space="preserve">and two radii:</w:t>
      </w:r>
      <w:r>
        <w:t xml:space="preserve"> </w:t>
      </w:r>
      <m:oMath>
        <m:sSub>
          <m:e>
            <m:r>
              <m:t>r</m:t>
            </m:r>
          </m:e>
          <m:sub>
            <m:r>
              <m:rPr>
                <m:nor/>
                <m:sty m:val="p"/>
              </m:rPr>
              <m:t>in</m:t>
            </m:r>
          </m:sub>
        </m:sSub>
      </m:oMath>
      <w:r>
        <w:t xml:space="preserve"> </w:t>
      </w:r>
      <w:r>
        <w:t xml:space="preserve">delineating the focus region and</w:t>
      </w:r>
      <w:r>
        <w:t xml:space="preserve"> </w:t>
      </w:r>
      <m:oMath>
        <m:sSub>
          <m:e>
            <m:r>
              <m:t>r</m:t>
            </m:r>
          </m:e>
          <m:sub>
            <m:r>
              <m:rPr>
                <m:nor/>
                <m:sty m:val="p"/>
              </m:rPr>
              <m:t>out</m:t>
            </m:r>
          </m:sub>
        </m:sSub>
      </m:oMath>
      <w:r>
        <w:t xml:space="preserve"> </w:t>
      </w:r>
      <w:r>
        <w:t xml:space="preserve">marking the glue boundary. Points inside the focus magnify, points between the radii focus on the center and then compress according to a smooth curve, and points outside remain unchanged. This radial scheme keeps angular</w:t>
      </w:r>
      <w:r>
        <w:t xml:space="preserve"> </w:t>
      </w:r>
      <w:r>
        <w:t xml:space="preserve">coordinates intact, thereby preserving bearings and relative direction.</w:t>
      </w:r>
    </w:p>
    <w:bookmarkStart w:id="34" w:name="algorithm"/>
    <w:p>
      <w:pPr>
        <w:pStyle w:val="Heading2"/>
      </w:pPr>
      <w:r>
        <w:t xml:space="preserve">Algorithm</w:t>
      </w:r>
    </w:p>
    <w:p>
      <w:pPr>
        <w:pStyle w:val="FirstParagraph"/>
      </w:pPr>
      <w:r>
        <w:t xml:space="preserve">Let</w:t>
      </w:r>
      <w:r>
        <w:t xml:space="preserve"> </w:t>
      </w:r>
      <m:oMath>
        <m:d>
          <m:dPr>
            <m:begChr m:val="("/>
            <m:sepChr m:val=""/>
            <m:endChr m:val=")"/>
            <m:grow/>
          </m:dPr>
          <m:e>
            <m:r>
              <m:t>r</m:t>
            </m:r>
            <m:r>
              <m:rPr>
                <m:sty m:val="p"/>
              </m:rPr>
              <m:t>,</m:t>
            </m:r>
            <m:r>
              <m:t>θ</m:t>
            </m:r>
          </m:e>
        </m:d>
      </m:oMath>
      <w:r>
        <w:t xml:space="preserve"> </w:t>
      </w:r>
      <w:r>
        <w:t xml:space="preserve">denote the polar form of point</w:t>
      </w:r>
      <w:r>
        <w:t xml:space="preserve"> </w:t>
      </w:r>
      <m:oMath>
        <m:r>
          <m:t>P</m:t>
        </m:r>
        <m:r>
          <m:rPr>
            <m:sty m:val="p"/>
          </m:rPr>
          <m:t>=</m:t>
        </m:r>
        <m:d>
          <m:dPr>
            <m:begChr m:val="("/>
            <m:sepChr m:val=""/>
            <m:endChr m:val=")"/>
            <m:grow/>
          </m:dPr>
          <m:e>
            <m:r>
              <m:t>x</m:t>
            </m:r>
            <m:r>
              <m:rPr>
                <m:sty m:val="p"/>
              </m:rPr>
              <m:t>,</m:t>
            </m:r>
            <m:r>
              <m:t>y</m:t>
            </m:r>
          </m:e>
        </m:d>
      </m:oMath>
      <w:r>
        <w:t xml:space="preserve"> </w:t>
      </w:r>
      <w:r>
        <w:t xml:space="preserve">relative to center</w:t>
      </w:r>
      <w:r>
        <w:t xml:space="preserve"> </w:t>
      </w:r>
      <m:oMath>
        <m:r>
          <m:t>C</m:t>
        </m:r>
        <m:r>
          <m:rPr>
            <m:sty m:val="p"/>
          </m:rPr>
          <m:t>=</m:t>
        </m:r>
        <m:d>
          <m:dPr>
            <m:begChr m:val="("/>
            <m:sepChr m:val=""/>
            <m:endChr m:val=")"/>
            <m:grow/>
          </m:dPr>
          <m:e>
            <m:sSub>
              <m:e>
                <m:r>
                  <m:t>c</m:t>
                </m:r>
              </m:e>
              <m:sub>
                <m:r>
                  <m:t>x</m:t>
                </m:r>
              </m:sub>
            </m:sSub>
            <m:r>
              <m:rPr>
                <m:sty m:val="p"/>
              </m:rPr>
              <m:t>,</m:t>
            </m:r>
            <m:sSub>
              <m:e>
                <m:r>
                  <m:t>c</m:t>
                </m:r>
              </m:e>
              <m:sub>
                <m:r>
                  <m:t>y</m:t>
                </m:r>
              </m:sub>
            </m:sSub>
          </m:e>
        </m:d>
      </m:oMath>
      <w:r>
        <w:t xml:space="preserve">. The transformation defines a new radius</w:t>
      </w:r>
      <w:r>
        <w:t xml:space="preserve"> </w:t>
      </w:r>
      <m:oMath>
        <m:r>
          <m:t>r</m:t>
        </m:r>
        <m:r>
          <m:rPr>
            <m:sty m:val="p"/>
          </m:rPr>
          <m:t>′</m:t>
        </m:r>
      </m:oMath>
      <w:r>
        <w:t xml:space="preserve"> </w:t>
      </w:r>
      <w:r>
        <w:t xml:space="preserve">via a piecewise function:</w:t>
      </w:r>
    </w:p>
    <w:p>
      <w:pPr>
        <w:pStyle w:val="BodyText"/>
      </w:pPr>
      <m:oMathPara>
        <m:oMathParaPr>
          <m:jc m:val="center"/>
        </m:oMathParaPr>
        <m:oMath>
          <m:r>
            <m:t>r</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rPr>
                        <m:sty m:val="p"/>
                      </m:rPr>
                      <m:t>min</m:t>
                    </m:r>
                    <m:d>
                      <m:dPr>
                        <m:begChr m:val="("/>
                        <m:sepChr m:val=""/>
                        <m:endChr m:val=")"/>
                        <m:grow/>
                      </m:dPr>
                      <m:e>
                        <m:r>
                          <m:t>z</m:t>
                        </m:r>
                        <m:r>
                          <m:rPr>
                            <m:sty m:val="p"/>
                          </m:rPr>
                          <m:t>⋅</m:t>
                        </m:r>
                        <m:r>
                          <m:t>r</m:t>
                        </m:r>
                        <m:r>
                          <m:rPr>
                            <m:sty m:val="p"/>
                          </m:rPr>
                          <m:t>,</m:t>
                        </m:r>
                        <m:sSub>
                          <m:e>
                            <m:r>
                              <m:t>r</m:t>
                            </m:r>
                          </m:e>
                          <m:sub>
                            <m:r>
                              <m:rPr>
                                <m:nor/>
                                <m:sty m:val="p"/>
                              </m:rPr>
                              <m:t>in</m:t>
                            </m:r>
                          </m:sub>
                        </m:sSub>
                      </m:e>
                    </m:d>
                  </m:e>
                  <m:e>
                    <m:r>
                      <m:rPr>
                        <m:nor/>
                        <m:sty m:val="p"/>
                      </m:rPr>
                      <m:t>if </m:t>
                    </m:r>
                    <m:r>
                      <m:t>r</m:t>
                    </m:r>
                    <m:r>
                      <m:rPr>
                        <m:sty m:val="p"/>
                      </m:rPr>
                      <m:t>≤</m:t>
                    </m:r>
                    <m:sSub>
                      <m:e>
                        <m:r>
                          <m:t>r</m:t>
                        </m:r>
                      </m:e>
                      <m:sub>
                        <m:r>
                          <m:rPr>
                            <m:nor/>
                            <m:sty m:val="p"/>
                          </m:rPr>
                          <m:t>in</m:t>
                        </m:r>
                      </m:sub>
                    </m:sSub>
                    <m:r>
                      <m:rPr>
                        <m:sty m:val="p"/>
                      </m:rPr>
                      <m:t>,</m:t>
                    </m:r>
                  </m:e>
                </m:mr>
                <m:mr>
                  <m:e>
                    <m:sSub>
                      <m:e>
                        <m:r>
                          <m:t>r</m:t>
                        </m:r>
                      </m:e>
                      <m:sub>
                        <m:r>
                          <m:rPr>
                            <m:nor/>
                            <m:sty m:val="p"/>
                          </m:rPr>
                          <m:t>in</m:t>
                        </m:r>
                      </m:sub>
                    </m:sSub>
                    <m:r>
                      <m:rPr>
                        <m:sty m:val="p"/>
                      </m:rPr>
                      <m:t>+</m:t>
                    </m:r>
                    <m:d>
                      <m:dPr>
                        <m:begChr m:val="("/>
                        <m:sepChr m:val=""/>
                        <m:endChr m:val=")"/>
                        <m:grow/>
                      </m:dPr>
                      <m:e>
                        <m:sSub>
                          <m:e>
                            <m:r>
                              <m:t>r</m:t>
                            </m:r>
                          </m:e>
                          <m:sub>
                            <m:r>
                              <m:rPr>
                                <m:nor/>
                                <m:sty m:val="p"/>
                              </m:rPr>
                              <m:t>out</m:t>
                            </m:r>
                          </m:sub>
                        </m:sSub>
                        <m:r>
                          <m:rPr>
                            <m:sty m:val="p"/>
                          </m:rPr>
                          <m:t>−</m:t>
                        </m:r>
                        <m:sSub>
                          <m:e>
                            <m:r>
                              <m:t>r</m:t>
                            </m:r>
                          </m:e>
                          <m:sub>
                            <m:r>
                              <m:rPr>
                                <m:nor/>
                                <m:sty m:val="p"/>
                              </m:rPr>
                              <m:t>in</m:t>
                            </m:r>
                          </m:sub>
                        </m:sSub>
                      </m:e>
                    </m:d>
                    <m:r>
                      <m:rPr>
                        <m:sty m:val="p"/>
                      </m:rPr>
                      <m:t>⋅</m:t>
                    </m:r>
                    <m:r>
                      <m:t>h</m:t>
                    </m:r>
                    <m:d>
                      <m:dPr>
                        <m:begChr m:val="("/>
                        <m:sepChr m:val=""/>
                        <m:endChr m:val=")"/>
                        <m:grow/>
                      </m:dPr>
                      <m:e>
                        <m:r>
                          <m:t>u</m:t>
                        </m:r>
                        <m:r>
                          <m:rPr>
                            <m:sty m:val="p"/>
                          </m:rPr>
                          <m:t>;</m:t>
                        </m:r>
                        <m:r>
                          <m:t>s</m:t>
                        </m:r>
                      </m:e>
                    </m:d>
                  </m:e>
                  <m:e>
                    <m:r>
                      <m:rPr>
                        <m:nor/>
                        <m:sty m:val="p"/>
                      </m:rPr>
                      <m:t>if </m:t>
                    </m:r>
                    <m:sSub>
                      <m:e>
                        <m:r>
                          <m:t>r</m:t>
                        </m:r>
                      </m:e>
                      <m:sub>
                        <m:r>
                          <m:rPr>
                            <m:nor/>
                            <m:sty m:val="p"/>
                          </m:rPr>
                          <m:t>in</m:t>
                        </m:r>
                      </m:sub>
                    </m:sSub>
                    <m:r>
                      <m:rPr>
                        <m:sty m:val="p"/>
                      </m:rPr>
                      <m:t>&lt;</m:t>
                    </m:r>
                    <m:r>
                      <m:t>r</m:t>
                    </m:r>
                    <m:r>
                      <m:rPr>
                        <m:sty m:val="p"/>
                      </m:rPr>
                      <m:t>≤</m:t>
                    </m:r>
                    <m:sSub>
                      <m:e>
                        <m:r>
                          <m:t>r</m:t>
                        </m:r>
                      </m:e>
                      <m:sub>
                        <m:r>
                          <m:rPr>
                            <m:nor/>
                            <m:sty m:val="p"/>
                          </m:rPr>
                          <m:t>out</m:t>
                        </m:r>
                      </m:sub>
                    </m:sSub>
                    <m:r>
                      <m:rPr>
                        <m:sty m:val="p"/>
                      </m:rPr>
                      <m:t>,</m:t>
                    </m:r>
                  </m:e>
                </m:mr>
                <m:mr>
                  <m:e>
                    <m:r>
                      <m:t>r</m:t>
                    </m:r>
                  </m:e>
                  <m:e>
                    <m:r>
                      <m:rPr>
                        <m:nor/>
                        <m:sty m:val="p"/>
                      </m:rPr>
                      <m:t>if </m:t>
                    </m:r>
                    <m:r>
                      <m:t>r</m:t>
                    </m:r>
                    <m:r>
                      <m:rPr>
                        <m:sty m:val="p"/>
                      </m:rPr>
                      <m:t>&gt;</m:t>
                    </m:r>
                    <m:sSub>
                      <m:e>
                        <m:r>
                          <m:t>r</m:t>
                        </m:r>
                      </m:e>
                      <m:sub>
                        <m:r>
                          <m:rPr>
                            <m:nor/>
                            <m:sty m:val="p"/>
                          </m:rPr>
                          <m:t>out</m:t>
                        </m:r>
                      </m:sub>
                    </m:sSub>
                    <m:r>
                      <m:rPr>
                        <m:sty m:val="p"/>
                      </m:rPr>
                      <m:t>,</m:t>
                    </m:r>
                  </m:e>
                </m:mr>
              </m:m>
            </m:e>
          </m:d>
        </m:oMath>
      </m:oMathPara>
    </w:p>
    <w:p>
      <w:pPr>
        <w:pStyle w:val="FirstParagraph"/>
      </w:pPr>
      <w:r>
        <w:t xml:space="preserve">where</w:t>
      </w:r>
      <w:r>
        <w:t xml:space="preserve"> </w:t>
      </w:r>
      <m:oMath>
        <m:r>
          <m:t>z</m:t>
        </m:r>
        <m:r>
          <m:rPr>
            <m:sty m:val="p"/>
          </m:rPr>
          <m:t>&gt;</m:t>
        </m:r>
        <m:r>
          <m:t>1</m:t>
        </m:r>
      </m:oMath>
      <w:r>
        <w:t xml:space="preserve"> </w:t>
      </w:r>
      <w:r>
        <w:t xml:space="preserve">is the zoom factor within the focus,</w:t>
      </w:r>
      <w:r>
        <w:t xml:space="preserve"> </w:t>
      </w:r>
      <m:oMath>
        <m:r>
          <m:t>s</m:t>
        </m:r>
        <m:r>
          <m:rPr>
            <m:sty m:val="p"/>
          </m:rPr>
          <m:t>∈</m:t>
        </m:r>
        <m:r>
          <m:rPr>
            <m:sty m:val="p"/>
          </m:rPr>
          <m:t>(</m:t>
        </m:r>
        <m:r>
          <m:t>0</m:t>
        </m:r>
        <m:r>
          <m:rPr>
            <m:sty m:val="p"/>
          </m:rPr>
          <m:t>,</m:t>
        </m:r>
        <m:r>
          <m:t>1</m:t>
        </m:r>
        <m:r>
          <m:rPr>
            <m:sty m:val="p"/>
          </m:rPr>
          <m:t>]</m:t>
        </m:r>
      </m:oMath>
      <w:r>
        <w:t xml:space="preserve"> </w:t>
      </w:r>
      <w:r>
        <w:t xml:space="preserve">controls glue compression, and</w:t>
      </w:r>
      <w:r>
        <w:t xml:space="preserve"> </w:t>
      </w:r>
      <m:oMath>
        <m:r>
          <m:t>u</m:t>
        </m:r>
        <m:r>
          <m:rPr>
            <m:sty m:val="p"/>
          </m:rPr>
          <m:t>=</m:t>
        </m:r>
        <m:d>
          <m:dPr>
            <m:begChr m:val="("/>
            <m:sepChr m:val=""/>
            <m:endChr m:val=")"/>
            <m:grow/>
          </m:dPr>
          <m:e>
            <m:r>
              <m:t>r</m:t>
            </m:r>
            <m:r>
              <m:rPr>
                <m:sty m:val="p"/>
              </m:rPr>
              <m:t>−</m:t>
            </m:r>
            <m:sSub>
              <m:e>
                <m:r>
                  <m:t>r</m:t>
                </m:r>
              </m:e>
              <m:sub>
                <m:r>
                  <m:rPr>
                    <m:nor/>
                    <m:sty m:val="p"/>
                  </m:rPr>
                  <m:t>in</m:t>
                </m:r>
              </m:sub>
            </m:sSub>
          </m:e>
        </m:d>
        <m:r>
          <m:rPr>
            <m:sty m:val="p"/>
          </m:rPr>
          <m:t>/</m:t>
        </m:r>
        <m:d>
          <m:dPr>
            <m:begChr m:val="("/>
            <m:sepChr m:val=""/>
            <m:endChr m:val=")"/>
            <m:grow/>
          </m:dPr>
          <m:e>
            <m:sSub>
              <m:e>
                <m:r>
                  <m:t>r</m:t>
                </m:r>
              </m:e>
              <m:sub>
                <m:r>
                  <m:rPr>
                    <m:nor/>
                    <m:sty m:val="p"/>
                  </m:rPr>
                  <m:t>out</m:t>
                </m:r>
              </m:sub>
            </m:sSub>
            <m:r>
              <m:rPr>
                <m:sty m:val="p"/>
              </m:rPr>
              <m:t>−</m:t>
            </m:r>
            <m:sSub>
              <m:e>
                <m:r>
                  <m:t>r</m:t>
                </m:r>
              </m:e>
              <m:sub>
                <m:r>
                  <m:rPr>
                    <m:nor/>
                    <m:sty m:val="p"/>
                  </m:rPr>
                  <m:t>in</m:t>
                </m:r>
              </m:sub>
            </m:sSub>
          </m:e>
        </m:d>
      </m:oMath>
      <w:r>
        <w:t xml:space="preserve"> </w:t>
      </w:r>
      <w:r>
        <w:t xml:space="preserve">normalises the glue radius to</w:t>
      </w:r>
      <w:r>
        <w:t xml:space="preserve"> </w:t>
      </w:r>
      <m:oMath>
        <m:d>
          <m:dPr>
            <m:begChr m:val="["/>
            <m:sepChr m:val=""/>
            <m:endChr m:val="]"/>
            <m:grow/>
          </m:dPr>
          <m:e>
            <m:r>
              <m:t>0</m:t>
            </m:r>
            <m:r>
              <m:rPr>
                <m:sty m:val="p"/>
              </m:rPr>
              <m:t>,</m:t>
            </m:r>
            <m:r>
              <m:t>1</m:t>
            </m:r>
          </m:e>
        </m:d>
      </m:oMath>
      <w:r>
        <w:t xml:space="preserve">. The function</w:t>
      </w:r>
      <w:r>
        <w:t xml:space="preserve"> </w:t>
      </w:r>
      <m:oMath>
        <m:r>
          <m:t>h</m:t>
        </m:r>
        <m:d>
          <m:dPr>
            <m:begChr m:val="("/>
            <m:sepChr m:val=""/>
            <m:endChr m:val=")"/>
            <m:grow/>
          </m:dPr>
          <m:e>
            <m:r>
              <m:t>u</m:t>
            </m:r>
            <m:r>
              <m:rPr>
                <m:sty m:val="p"/>
              </m:rPr>
              <m:t>;</m:t>
            </m:r>
            <m:r>
              <m:t>s</m:t>
            </m:r>
          </m:e>
        </m:d>
      </m:oMath>
      <w:r>
        <w:t xml:space="preserve"> </w:t>
      </w:r>
      <w:r>
        <w:t xml:space="preserve">is chosen so that</w:t>
      </w:r>
      <w:r>
        <w:t xml:space="preserve"> </w:t>
      </w:r>
      <m:oMath>
        <m:r>
          <m:t>h</m:t>
        </m:r>
        <m:d>
          <m:dPr>
            <m:begChr m:val="("/>
            <m:sepChr m:val=""/>
            <m:endChr m:val=")"/>
            <m:grow/>
          </m:dPr>
          <m:e>
            <m:r>
              <m:t>0</m:t>
            </m:r>
            <m:r>
              <m:rPr>
                <m:sty m:val="p"/>
              </m:rPr>
              <m:t>;</m:t>
            </m:r>
            <m:r>
              <m:t>s</m:t>
            </m:r>
          </m:e>
        </m:d>
        <m:r>
          <m:rPr>
            <m:sty m:val="p"/>
          </m:rPr>
          <m:t>=</m:t>
        </m:r>
        <m:r>
          <m:t>0</m:t>
        </m:r>
      </m:oMath>
      <w:r>
        <w:t xml:space="preserve">,</w:t>
      </w:r>
      <w:r>
        <w:t xml:space="preserve"> </w:t>
      </w:r>
      <m:oMath>
        <m:r>
          <m:t>h</m:t>
        </m:r>
        <m:d>
          <m:dPr>
            <m:begChr m:val="("/>
            <m:sepChr m:val=""/>
            <m:endChr m:val=")"/>
            <m:grow/>
          </m:dPr>
          <m:e>
            <m:r>
              <m:t>1</m:t>
            </m:r>
            <m:r>
              <m:rPr>
                <m:sty m:val="p"/>
              </m:rPr>
              <m:t>;</m:t>
            </m:r>
            <m:r>
              <m:t>s</m:t>
            </m:r>
          </m:e>
        </m:d>
        <m:r>
          <m:rPr>
            <m:sty m:val="p"/>
          </m:rPr>
          <m:t>=</m:t>
        </m:r>
        <m:r>
          <m:t>1</m:t>
        </m:r>
      </m:oMath>
      <w:r>
        <w:t xml:space="preserve">, and both the</w:t>
      </w:r>
      <w:r>
        <w:t xml:space="preserve"> </w:t>
      </w:r>
      <w:r>
        <w:t xml:space="preserve">first derivatives and the radii match at the boundaries. We adopt a symmetric power curve:</w:t>
      </w:r>
    </w:p>
    <w:p>
      <w:pPr>
        <w:pStyle w:val="BodyText"/>
      </w:pPr>
      <m:oMathPara>
        <m:oMathParaPr>
          <m:jc m:val="center"/>
        </m:oMathParaPr>
        <m:oMath>
          <m:r>
            <m:t>h</m:t>
          </m:r>
          <m:d>
            <m:dPr>
              <m:begChr m:val="("/>
              <m:sepChr m:val=""/>
              <m:endChr m:val=")"/>
              <m:grow/>
            </m:dPr>
            <m:e>
              <m:r>
                <m:t>u</m:t>
              </m:r>
              <m:r>
                <m:rPr>
                  <m:sty m:val="p"/>
                </m:rPr>
                <m:t>;</m:t>
              </m:r>
              <m:r>
                <m:t>s</m:t>
              </m:r>
            </m:e>
          </m:d>
          <m:r>
            <m:rPr>
              <m:sty m:val="p"/>
            </m:rPr>
            <m:t>=</m:t>
          </m:r>
          <m:d>
            <m:dPr>
              <m:begChr m:val="{"/>
              <m:sepChr m:val=""/>
              <m:endChr m:val=""/>
              <m:grow/>
            </m:dPr>
            <m:e>
              <m:m>
                <m:mPr>
                  <m:baseJc m:val="center"/>
                  <m:plcHide m:val="on"/>
                  <m:mcs>
                    <m:mc>
                      <m:mcPr>
                        <m:mcJc m:val="left"/>
                        <m:count m:val="1"/>
                      </m:mcPr>
                    </m:mc>
                    <m:mc>
                      <m:mcPr>
                        <m:mcJc m:val="left"/>
                        <m:count m:val="1"/>
                      </m:mcPr>
                    </m:mc>
                  </m:mcs>
                </m:mPr>
                <m:mr>
                  <m:e>
                    <m:f>
                      <m:fPr>
                        <m:type m:val="lin"/>
                      </m:fPr>
                      <m:num>
                        <m:r>
                          <m:t>1</m:t>
                        </m:r>
                      </m:num>
                      <m:den>
                        <m:r>
                          <m:t>2</m:t>
                        </m:r>
                      </m:den>
                    </m:f>
                    <m:r>
                      <m:rPr>
                        <m:sty m:val="p"/>
                      </m:rPr>
                      <m:t>⋅</m:t>
                    </m:r>
                    <m:sSup>
                      <m:e>
                        <m:r>
                          <m:t>u</m:t>
                        </m:r>
                      </m:e>
                      <m:sup>
                        <m:r>
                          <m:t>1</m:t>
                        </m:r>
                        <m:r>
                          <m:rPr>
                            <m:sty m:val="p"/>
                          </m:rPr>
                          <m:t>/</m:t>
                        </m:r>
                        <m:r>
                          <m:t>s</m:t>
                        </m:r>
                      </m:sup>
                    </m:sSup>
                  </m:e>
                  <m:e>
                    <m:r>
                      <m:rPr>
                        <m:nor/>
                        <m:sty m:val="p"/>
                      </m:rPr>
                      <m:t>if </m:t>
                    </m:r>
                    <m:r>
                      <m:t>0</m:t>
                    </m:r>
                    <m:r>
                      <m:rPr>
                        <m:sty m:val="p"/>
                      </m:rPr>
                      <m:t>≤</m:t>
                    </m:r>
                    <m:r>
                      <m:t>u</m:t>
                    </m:r>
                    <m:r>
                      <m:rPr>
                        <m:sty m:val="p"/>
                      </m:rPr>
                      <m:t>≤</m:t>
                    </m:r>
                    <m:r>
                      <m:t>0.5</m:t>
                    </m:r>
                    <m:r>
                      <m:rPr>
                        <m:sty m:val="p"/>
                      </m:rPr>
                      <m:t>,</m:t>
                    </m:r>
                  </m:e>
                </m:mr>
                <m:mr>
                  <m:e>
                    <m:r>
                      <m:t>1</m:t>
                    </m:r>
                    <m:r>
                      <m:rPr>
                        <m:sty m:val="p"/>
                      </m:rPr>
                      <m:t>−</m:t>
                    </m:r>
                    <m:f>
                      <m:fPr>
                        <m:type m:val="lin"/>
                      </m:fPr>
                      <m:num>
                        <m:r>
                          <m:t>1</m:t>
                        </m:r>
                      </m:num>
                      <m:den>
                        <m:r>
                          <m:t>2</m:t>
                        </m:r>
                      </m:den>
                    </m:f>
                    <m:r>
                      <m:rPr>
                        <m:sty m:val="p"/>
                      </m:rPr>
                      <m:t>⋅</m:t>
                    </m:r>
                    <m:sSup>
                      <m:e>
                        <m:d>
                          <m:dPr>
                            <m:begChr m:val="("/>
                            <m:sepChr m:val=""/>
                            <m:endChr m:val=")"/>
                            <m:grow/>
                          </m:dPr>
                          <m:e>
                            <m:r>
                              <m:t>1</m:t>
                            </m:r>
                            <m:r>
                              <m:rPr>
                                <m:sty m:val="p"/>
                              </m:rPr>
                              <m:t>−</m:t>
                            </m:r>
                            <m:r>
                              <m:t>u</m:t>
                            </m:r>
                          </m:e>
                        </m:d>
                      </m:e>
                      <m:sup>
                        <m:r>
                          <m:t>1</m:t>
                        </m:r>
                        <m:r>
                          <m:rPr>
                            <m:sty m:val="p"/>
                          </m:rPr>
                          <m:t>/</m:t>
                        </m:r>
                        <m:r>
                          <m:t>s</m:t>
                        </m:r>
                      </m:sup>
                    </m:sSup>
                  </m:e>
                  <m:e>
                    <m:r>
                      <m:rPr>
                        <m:nor/>
                        <m:sty m:val="p"/>
                      </m:rPr>
                      <m:t>if </m:t>
                    </m:r>
                    <m:r>
                      <m:t>0.5</m:t>
                    </m:r>
                    <m:r>
                      <m:rPr>
                        <m:sty m:val="p"/>
                      </m:rPr>
                      <m:t>&lt;</m:t>
                    </m:r>
                    <m:r>
                      <m:t>u</m:t>
                    </m:r>
                    <m:r>
                      <m:rPr>
                        <m:sty m:val="p"/>
                      </m:rPr>
                      <m:t>≤</m:t>
                    </m:r>
                    <m:r>
                      <m:t>1</m:t>
                    </m:r>
                    <m:r>
                      <m:rPr>
                        <m:sty m:val="p"/>
                      </m:rPr>
                      <m:t>,</m:t>
                    </m:r>
                  </m:e>
                </m:mr>
              </m:m>
            </m:e>
          </m:d>
        </m:oMath>
      </m:oMathPara>
    </w:p>
    <w:p>
      <w:pPr>
        <w:pStyle w:val="FirstParagraph"/>
      </w:pPr>
      <w:r>
        <w:t xml:space="preserve">which compresses radii near both boundaries and emphasises the mid-glue region. Analysts seeking</w:t>
      </w:r>
      <w:r>
        <w:t xml:space="preserve"> </w:t>
      </w:r>
      <w:r>
        <w:t xml:space="preserve">outward compression can choose alternative methods (e.g., the</w:t>
      </w:r>
      <w:r>
        <w:t xml:space="preserve"> </w:t>
      </w:r>
      <w:r>
        <w:rPr>
          <w:rStyle w:val="VerbatimChar"/>
        </w:rPr>
        <w:t xml:space="preserve">"outward"</w:t>
      </w:r>
      <w:r>
        <w:t xml:space="preserve"> </w:t>
      </w:r>
      <w:r>
        <w:t xml:space="preserve">mode) that bias the curve</w:t>
      </w:r>
      <w:r>
        <w:t xml:space="preserve"> </w:t>
      </w:r>
      <w:r>
        <w:t xml:space="preserve">towards</w:t>
      </w:r>
      <w:r>
        <w:t xml:space="preserve"> </w:t>
      </w:r>
      <m:oMath>
        <m:sSub>
          <m:e>
            <m:r>
              <m:t>r</m:t>
            </m:r>
          </m:e>
          <m:sub>
            <m:r>
              <m:rPr>
                <m:nor/>
                <m:sty m:val="p"/>
              </m:rPr>
              <m:t>out</m:t>
            </m:r>
          </m:sub>
        </m:sSub>
      </m:oMath>
      <w:r>
        <w:t xml:space="preserve">.</w:t>
      </w:r>
    </w:p>
    <w:p>
      <w:pPr>
        <w:pStyle w:val="BodyText"/>
      </w:pPr>
      <w:r>
        <w:t xml:space="preserve">The transform optionally introduces rotation within the glue zone to accentuate the flow from detail</w:t>
      </w:r>
      <w:r>
        <w:t xml:space="preserve"> </w:t>
      </w:r>
      <w:r>
        <w:t xml:space="preserve">to context. Let</w:t>
      </w:r>
      <w:r>
        <w:t xml:space="preserve"> </w:t>
      </w:r>
      <m:oMath>
        <m:r>
          <m:t>ϕ</m:t>
        </m:r>
        <m:d>
          <m:dPr>
            <m:begChr m:val="("/>
            <m:sepChr m:val=""/>
            <m:endChr m:val=")"/>
            <m:grow/>
          </m:dPr>
          <m:e>
            <m:r>
              <m:t>u</m:t>
            </m:r>
          </m:e>
        </m:d>
      </m:oMath>
      <w:r>
        <w:t xml:space="preserve"> </w:t>
      </w:r>
      <w:r>
        <w:t xml:space="preserve">denote the angular adjustment. We employ a bell-shaped profile:</w:t>
      </w:r>
      <w:r>
        <w:t xml:space="preserve"> </w:t>
      </w:r>
      <m:oMath>
        <m:r>
          <m:t>ϕ</m:t>
        </m:r>
        <m:d>
          <m:dPr>
            <m:begChr m:val="("/>
            <m:sepChr m:val=""/>
            <m:endChr m:val=")"/>
            <m:grow/>
          </m:dPr>
          <m:e>
            <m:r>
              <m:t>u</m:t>
            </m:r>
          </m:e>
        </m:d>
        <m:r>
          <m:rPr>
            <m:sty m:val="p"/>
          </m:rPr>
          <m:t>=</m:t>
        </m:r>
        <m:r>
          <m:t>ρ</m:t>
        </m:r>
        <m:r>
          <m:rPr>
            <m:sty m:val="p"/>
          </m:rPr>
          <m:t>⋅</m:t>
        </m:r>
        <m:r>
          <m:t>4</m:t>
        </m:r>
        <m:r>
          <m:t>u</m:t>
        </m:r>
        <m:d>
          <m:dPr>
            <m:begChr m:val="("/>
            <m:sepChr m:val=""/>
            <m:endChr m:val=")"/>
            <m:grow/>
          </m:dPr>
          <m:e>
            <m:r>
              <m:t>1</m:t>
            </m:r>
            <m:r>
              <m:rPr>
                <m:sty m:val="p"/>
              </m:rPr>
              <m:t>−</m:t>
            </m:r>
            <m:r>
              <m:t>u</m:t>
            </m:r>
          </m:e>
        </m:d>
      </m:oMath>
      <w:r>
        <w:t xml:space="preserve">, where</w:t>
      </w:r>
      <w:r>
        <w:t xml:space="preserve"> </w:t>
      </w:r>
      <m:oMath>
        <m:r>
          <m:t>ρ</m:t>
        </m:r>
      </m:oMath>
      <w:r>
        <w:t xml:space="preserve"> </w:t>
      </w:r>
      <w:r>
        <w:t xml:space="preserve">is the revolution parameter (in radians). This</w:t>
      </w:r>
      <w:r>
        <w:t xml:space="preserve"> </w:t>
      </w:r>
      <w:r>
        <w:t xml:space="preserve">function peaks at the glue midpoint and vanishes at the boundaries, ensuring continuity.</w:t>
      </w:r>
    </w:p>
    <w:p>
      <w:pPr>
        <w:pStyle w:val="BodyText"/>
      </w:pPr>
      <w:r>
        <w:t xml:space="preserve">The focus and glue formulas ensure</w:t>
      </w:r>
      <w:r>
        <w:t xml:space="preserve"> </w:t>
      </w:r>
      <m:oMath>
        <m:r>
          <m:t>r</m:t>
        </m:r>
        <m:r>
          <m:rPr>
            <m:sty m:val="p"/>
          </m:rPr>
          <m:t>′</m:t>
        </m:r>
      </m:oMath>
      <w:r>
        <w:t xml:space="preserve"> </w:t>
      </w:r>
      <w:r>
        <w:t xml:space="preserve">and</w:t>
      </w:r>
      <w:r>
        <w:t xml:space="preserve"> </w:t>
      </w:r>
      <m:oMath>
        <m:f>
          <m:fPr>
            <m:type m:val="bar"/>
          </m:fPr>
          <m:num>
            <m:r>
              <m:rPr>
                <m:sty m:val="p"/>
              </m:rPr>
              <m:t>∂</m:t>
            </m:r>
            <m:r>
              <m:t>r</m:t>
            </m:r>
            <m:r>
              <m:rPr>
                <m:sty m:val="p"/>
              </m:rPr>
              <m:t>′</m:t>
            </m:r>
          </m:num>
          <m:den>
            <m:r>
              <m:rPr>
                <m:sty m:val="p"/>
              </m:rPr>
              <m:t>∂</m:t>
            </m:r>
            <m:r>
              <m:t>r</m:t>
            </m:r>
          </m:den>
        </m:f>
      </m:oMath>
      <w:r>
        <w:t xml:space="preserve"> </w:t>
      </w:r>
      <w:r>
        <w:t xml:space="preserve">are continuous at</w:t>
      </w:r>
      <w:r>
        <w:t xml:space="preserve"> </w:t>
      </w:r>
      <m:oMath>
        <m:sSub>
          <m:e>
            <m:r>
              <m:t>r</m:t>
            </m:r>
          </m:e>
          <m:sub>
            <m:r>
              <m:rPr>
                <m:nor/>
                <m:sty m:val="p"/>
              </m:rPr>
              <m:t>in</m:t>
            </m:r>
          </m:sub>
        </m:sSub>
      </m:oMath>
      <w:r>
        <w:t xml:space="preserve"> </w:t>
      </w:r>
      <w:r>
        <w:t xml:space="preserve">and</w:t>
      </w:r>
      <w:r>
        <w:t xml:space="preserve"> </w:t>
      </w:r>
      <m:oMath>
        <m:sSub>
          <m:e>
            <m:r>
              <m:t>r</m:t>
            </m:r>
          </m:e>
          <m:sub>
            <m:r>
              <m:rPr>
                <m:nor/>
                <m:sty m:val="p"/>
              </m:rPr>
              <m:t>out</m:t>
            </m:r>
          </m:sub>
        </m:sSub>
      </m:oMath>
      <w:r>
        <w:t xml:space="preserve">. Continuity is essential for maintaining perceptual</w:t>
      </w:r>
      <w:r>
        <w:t xml:space="preserve"> </w:t>
      </w:r>
      <w:r>
        <w:t xml:space="preserve">coherence and avoiding visible creases along the glue boundary. In practice, analysts can tune</w:t>
      </w:r>
      <w:r>
        <w:t xml:space="preserve"> </w:t>
      </w:r>
      <w:r>
        <w:t xml:space="preserve">parameters interactively to obtain the desired amount of magnification and compression, knowing the</w:t>
      </w:r>
      <w:r>
        <w:t xml:space="preserve"> </w:t>
      </w:r>
      <w:r>
        <w:t xml:space="preserve">transform behaves smoothly across the domain.</w:t>
      </w:r>
    </w:p>
    <w:bookmarkEnd w:id="34"/>
    <w:bookmarkStart w:id="39" w:name="implementation"/>
    <w:p>
      <w:pPr>
        <w:pStyle w:val="Heading2"/>
      </w:pPr>
      <w:r>
        <w:t xml:space="preserve">Implementation</w:t>
      </w:r>
    </w:p>
    <w:p>
      <w:pPr>
        <w:pStyle w:val="FirstParagraph"/>
      </w:pPr>
      <w:r>
        <w:t xml:space="preserve">Spatial datasets vary widely in CRS, extent, feature types, and schemas. mapycusmaximus follows a disciplined staged workflow where each step is explicit, auditable, and invariant to input type. The architecture separates numeric mapping, spatial orchestration, and geometry reconstruction, allowing the core transform to remain small and testable while sf-specific concerns are isolated in thin wrappers.</w:t>
      </w:r>
    </w:p>
    <w:bookmarkStart w:id="35" w:name="workflow-and-crs-handling"/>
    <w:p>
      <w:pPr>
        <w:pStyle w:val="Heading3"/>
      </w:pPr>
      <w:r>
        <w:t xml:space="preserve">Workflow and CRS handling</w:t>
      </w:r>
    </w:p>
    <w:p>
      <w:pPr>
        <w:pStyle w:val="FirstParagraph"/>
      </w:pPr>
      <w:r>
        <w:t xml:space="preserve">The pipeline proceeds:</w:t>
      </w:r>
      <w:r>
        <w:t xml:space="preserve"> </w:t>
      </w:r>
      <w:r>
        <w:rPr>
          <w:b/>
          <w:bCs/>
        </w:rPr>
        <w:t xml:space="preserve">sanitize input</w:t>
      </w:r>
      <w:r>
        <w:t xml:space="preserve"> </w:t>
      </w:r>
      <w:r>
        <w:t xml:space="preserve">→</w:t>
      </w:r>
      <w:r>
        <w:t xml:space="preserve"> </w:t>
      </w:r>
      <w:r>
        <w:rPr>
          <w:b/>
          <w:bCs/>
        </w:rPr>
        <w:t xml:space="preserve">select working CRS</w:t>
      </w:r>
      <w:r>
        <w:t xml:space="preserve"> </w:t>
      </w:r>
      <w:r>
        <w:t xml:space="preserve">→</w:t>
      </w:r>
      <w:r>
        <w:t xml:space="preserve"> </w:t>
      </w:r>
      <w:r>
        <w:rPr>
          <w:b/>
          <w:bCs/>
        </w:rPr>
        <w:t xml:space="preserve">normalize</w:t>
      </w:r>
      <w:r>
        <w:t xml:space="preserve"> </w:t>
      </w:r>
      <w:r>
        <w:t xml:space="preserve">→</w:t>
      </w:r>
      <w:r>
        <w:t xml:space="preserve"> </w:t>
      </w:r>
      <w:r>
        <w:rPr>
          <w:b/>
          <w:bCs/>
        </w:rPr>
        <w:t xml:space="preserve">warp</w:t>
      </w:r>
      <w:r>
        <w:t xml:space="preserve"> </w:t>
      </w:r>
      <w:r>
        <w:t xml:space="preserve">→</w:t>
      </w:r>
      <w:r>
        <w:t xml:space="preserve"> </w:t>
      </w:r>
      <w:r>
        <w:rPr>
          <w:b/>
          <w:bCs/>
        </w:rPr>
        <w:t xml:space="preserve">denormalize</w:t>
      </w:r>
      <w:r>
        <w:t xml:space="preserve"> </w:t>
      </w:r>
      <w:r>
        <w:t xml:space="preserve">→</w:t>
      </w:r>
      <w:r>
        <w:t xml:space="preserve"> </w:t>
      </w:r>
      <w:r>
        <w:rPr>
          <w:b/>
          <w:bCs/>
        </w:rPr>
        <w:t xml:space="preserve">restore original CRS</w:t>
      </w:r>
      <w:r>
        <w:t xml:space="preserve">. Empty geometries are dropped and</w:t>
      </w:r>
      <w:r>
        <w:t xml:space="preserve"> </w:t>
      </w:r>
      <w:r>
        <w:rPr>
          <w:rStyle w:val="VerbatimChar"/>
        </w:rPr>
        <w:t xml:space="preserve">sf::st_zm()</w:t>
      </w:r>
      <w:r>
        <w:t xml:space="preserve"> </w:t>
      </w:r>
      <w:r>
        <w:t xml:space="preserve">enforces 2D coordinates.</w:t>
      </w:r>
    </w:p>
    <w:p>
      <w:pPr>
        <w:pStyle w:val="BodyText"/>
      </w:pPr>
      <w:r>
        <w:t xml:space="preserve">The package automatically selects a projected working CRS when operating on geographic data: GDA2020/MGA Zone 55 (EPSG:7855) for Victoria, otherwise UTM inferred from the centroid. This ensures distances are measured in metres and parameters behave consistently. The original CRS is restored on return.</w:t>
      </w:r>
    </w:p>
    <w:p>
      <w:pPr>
        <w:pStyle w:val="BodyText"/>
      </w:pPr>
      <w:r>
        <w:t xml:space="preserve">A bounding box defines normalization. With</w:t>
      </w:r>
      <w:r>
        <w:t xml:space="preserve"> </w:t>
      </w:r>
      <w:r>
        <w:rPr>
          <w:rStyle w:val="VerbatimChar"/>
        </w:rPr>
        <w:t xml:space="preserve">preserve_aspect = TRUE</w:t>
      </w:r>
      <w:r>
        <w:t xml:space="preserve">, uniform scale</w:t>
      </w:r>
      <w:r>
        <w:t xml:space="preserve"> </w:t>
      </w:r>
      <m:oMath>
        <m:r>
          <m:t>s</m:t>
        </m:r>
        <m:r>
          <m:rPr>
            <m:sty m:val="p"/>
          </m:rPr>
          <m:t>=</m:t>
        </m:r>
        <m:r>
          <m:rPr>
            <m:sty m:val="p"/>
          </m:rPr>
          <m:t>max</m:t>
        </m:r>
        <m:d>
          <m:dPr>
            <m:begChr m:val="("/>
            <m:sepChr m:val=""/>
            <m:endChr m:val=")"/>
            <m:grow/>
          </m:dPr>
          <m:e>
            <m:sSub>
              <m:e>
                <m:r>
                  <m:t>s</m:t>
                </m:r>
              </m:e>
              <m:sub>
                <m:r>
                  <m:t>x</m:t>
                </m:r>
              </m:sub>
            </m:sSub>
            <m:r>
              <m:rPr>
                <m:sty m:val="p"/>
              </m:rPr>
              <m:t>,</m:t>
            </m:r>
            <m:sSub>
              <m:e>
                <m:r>
                  <m:t>s</m:t>
                </m:r>
              </m:e>
              <m:sub>
                <m:r>
                  <m:t>y</m:t>
                </m:r>
              </m:sub>
            </m:sSub>
          </m:e>
        </m:d>
      </m:oMath>
      <w:r>
        <w:t xml:space="preserve"> </w:t>
      </w:r>
      <w:r>
        <w:t xml:space="preserve">is applied; otherwise axes scale independently. Center resolution occurs before normalization and implements precedence rules via</w:t>
      </w:r>
      <w:r>
        <w:t xml:space="preserve"> </w:t>
      </w:r>
      <w:r>
        <w:rPr>
          <w:rStyle w:val="VerbatimChar"/>
        </w:rPr>
        <w:t xml:space="preserve">.resolve_center()</w:t>
      </w:r>
      <w:r>
        <w:t xml:space="preserve">: sf/sfc geometries are reduced to a centroid and transformed to working CRS; numeric pairs with</w:t>
      </w:r>
      <w:r>
        <w:t xml:space="preserve"> </w:t>
      </w:r>
      <w:r>
        <w:rPr>
          <w:rStyle w:val="VerbatimChar"/>
        </w:rPr>
        <w:t xml:space="preserve">center_crs</w:t>
      </w:r>
      <w:r>
        <w:t xml:space="preserve"> </w:t>
      </w:r>
      <w:r>
        <w:t xml:space="preserve">are transformed; numeric pairs without CRS use a lon/lat heuristic;</w:t>
      </w:r>
      <w:r>
        <w:t xml:space="preserve"> </w:t>
      </w:r>
      <w:r>
        <w:rPr>
          <w:rStyle w:val="VerbatimChar"/>
        </w:rPr>
        <w:t xml:space="preserve">normalized_center = TRUE</w:t>
      </w:r>
      <w:r>
        <w:t xml:space="preserve"> </w:t>
      </w:r>
      <w:r>
        <w:t xml:space="preserve">interprets pairs in</w:t>
      </w:r>
      <w:r>
        <w:t xml:space="preserve"> </w:t>
      </w:r>
      <m:oMath>
        <m:d>
          <m:dPr>
            <m:begChr m:val="["/>
            <m:sepChr m:val=""/>
            <m:endChr m:val="]"/>
            <m:grow/>
          </m:dPr>
          <m:e>
            <m:r>
              <m:rPr>
                <m:sty m:val="p"/>
              </m:rPr>
              <m:t>−</m:t>
            </m:r>
            <m:r>
              <m:t>1</m:t>
            </m:r>
            <m:r>
              <m:rPr>
                <m:sty m:val="p"/>
              </m:rPr>
              <m:t>,</m:t>
            </m:r>
            <m:r>
              <m:t>1</m:t>
            </m:r>
          </m:e>
        </m:d>
      </m:oMath>
      <w:r>
        <w:t xml:space="preserve"> </w:t>
      </w:r>
      <w:r>
        <w:t xml:space="preserve">relative to bbox midpoint. If no center is given, the bbox midpoint serves as default.</w:t>
      </w:r>
    </w:p>
    <w:bookmarkEnd w:id="35"/>
    <w:bookmarkStart w:id="36" w:name="core-transformation"/>
    <w:p>
      <w:pPr>
        <w:pStyle w:val="Heading3"/>
      </w:pPr>
      <w:r>
        <w:t xml:space="preserve">Core transformation</w:t>
      </w:r>
    </w:p>
    <w:p>
      <w:pPr>
        <w:pStyle w:val="FirstParagraph"/>
      </w:pPr>
      <w:r>
        <w:t xml:space="preserve">At the heart of the package is</w:t>
      </w:r>
      <w:r>
        <w:t xml:space="preserve"> </w:t>
      </w:r>
      <w:r>
        <w:rPr>
          <w:rStyle w:val="VerbatimChar"/>
        </w:rPr>
        <w:t xml:space="preserve">fisheye_fgc()</w:t>
      </w:r>
      <w:r>
        <w:t xml:space="preserve">, a vectorized function mapping an</w:t>
      </w:r>
      <w:r>
        <w:t xml:space="preserve"> </w:t>
      </w:r>
      <m:oMath>
        <m:r>
          <m:t>n</m:t>
        </m:r>
        <m:r>
          <m:rPr>
            <m:sty m:val="p"/>
          </m:rPr>
          <m:t>×</m:t>
        </m:r>
        <m:r>
          <m:t>2</m:t>
        </m:r>
      </m:oMath>
      <w:r>
        <w:t xml:space="preserve"> </w:t>
      </w:r>
      <w:r>
        <w:t xml:space="preserve">coordinate matrix to a new</w:t>
      </w:r>
      <w:r>
        <w:t xml:space="preserve"> </w:t>
      </w:r>
      <m:oMath>
        <m:r>
          <m:t>n</m:t>
        </m:r>
        <m:r>
          <m:rPr>
            <m:sty m:val="p"/>
          </m:rPr>
          <m:t>×</m:t>
        </m:r>
        <m:r>
          <m:t>2</m:t>
        </m:r>
      </m:oMath>
      <w:r>
        <w:t xml:space="preserve"> </w:t>
      </w:r>
      <w:r>
        <w:t xml:space="preserve">matrix via the FGC rule. Its contract is minimal: numeric arrays and scalar parameters defining center, radii, magnification, compression, method, and revolution. Internally it converts to polar form, applies the piecewise radial map with smooth boundary conditions, optionally perturbs angle via bell-shaped rotation, and converts back to Cartesian. It attaches diagnostic attributes (zone labels, original and new radii) consumed by plotting utilities but not affecting geometry reconstruction.</w:t>
      </w:r>
    </w:p>
    <w:p>
      <w:pPr>
        <w:pStyle w:val="BodyText"/>
      </w:pPr>
      <w:r>
        <w:t xml:space="preserve">Numeric stability at zone boundaries is ensured by clamping expansions in the focus so radii do not exceed</w:t>
      </w:r>
      <w:r>
        <w:t xml:space="preserve"> </w:t>
      </w:r>
      <m:oMath>
        <m:sSub>
          <m:e>
            <m:r>
              <m:t>r</m:t>
            </m:r>
          </m:e>
          <m:sub>
            <m:r>
              <m:t>i</m:t>
            </m:r>
            <m:r>
              <m:t>n</m:t>
            </m:r>
          </m:sub>
        </m:sSub>
      </m:oMath>
      <w:r>
        <w:t xml:space="preserve">, and using smooth power curves in the glue so derivatives match across boundaries. The radial mapping is vectorized and runs in linear time in the number of vertices.</w:t>
      </w:r>
    </w:p>
    <w:bookmarkEnd w:id="36"/>
    <w:bookmarkStart w:id="37" w:name="geometry-reconstruction"/>
    <w:p>
      <w:pPr>
        <w:pStyle w:val="Heading3"/>
      </w:pPr>
      <w:r>
        <w:t xml:space="preserve">Geometry reconstruction</w:t>
      </w:r>
    </w:p>
    <w:p>
      <w:pPr>
        <w:pStyle w:val="FirstParagraph"/>
      </w:pPr>
      <w:r>
        <w:t xml:space="preserve">Orchestration is handled by</w:t>
      </w:r>
      <w:r>
        <w:t xml:space="preserve"> </w:t>
      </w:r>
      <w:r>
        <w:rPr>
          <w:rStyle w:val="VerbatimChar"/>
        </w:rPr>
        <w:t xml:space="preserve">sf_fisheye()</w:t>
      </w:r>
      <w:r>
        <w:t xml:space="preserve">, which presents the user-facing interface while keeping the numeric core untouched. It validates input, selects working CRS, resolves center, constructs normalization closures, and invokes</w:t>
      </w:r>
      <w:r>
        <w:t xml:space="preserve"> </w:t>
      </w:r>
      <w:r>
        <w:rPr>
          <w:rStyle w:val="VerbatimChar"/>
        </w:rPr>
        <w:t xml:space="preserve">st_transform_custom()</w:t>
      </w:r>
      <w:r>
        <w:t xml:space="preserve"> </w:t>
      </w:r>
      <w:r>
        <w:t xml:space="preserve">to rebuild geometries.</w:t>
      </w:r>
    </w:p>
    <w:p>
      <w:pPr>
        <w:pStyle w:val="BodyText"/>
      </w:pPr>
      <w:r>
        <w:t xml:space="preserve">The geometry walker</w:t>
      </w:r>
      <w:r>
        <w:t xml:space="preserve"> </w:t>
      </w:r>
      <w:r>
        <w:rPr>
          <w:rStyle w:val="VerbatimChar"/>
        </w:rPr>
        <w:t xml:space="preserve">st_transform_custom()</w:t>
      </w:r>
      <w:r>
        <w:t xml:space="preserve"> </w:t>
      </w:r>
      <w:r>
        <w:t xml:space="preserve">acts as a drop-in analogue to</w:t>
      </w:r>
      <w:r>
        <w:t xml:space="preserve"> </w:t>
      </w:r>
      <w:r>
        <w:rPr>
          <w:rStyle w:val="VerbatimChar"/>
        </w:rPr>
        <w:t xml:space="preserve">sf::st_transform()</w:t>
      </w:r>
      <w:r>
        <w:t xml:space="preserve"> </w:t>
      </w:r>
      <w:r>
        <w:t xml:space="preserve">but applies an arbitrary coordinate function. For each feature, it extracts coordinates via</w:t>
      </w:r>
      <w:r>
        <w:t xml:space="preserve"> </w:t>
      </w:r>
      <w:r>
        <w:rPr>
          <w:rStyle w:val="VerbatimChar"/>
        </w:rPr>
        <w:t xml:space="preserve">sf::st_coordinates()</w:t>
      </w:r>
      <w:r>
        <w:t xml:space="preserve">, yielding a matrix with columns</w:t>
      </w:r>
      <w:r>
        <w:t xml:space="preserve"> </w:t>
      </w:r>
      <m:oMath>
        <m:d>
          <m:dPr>
            <m:begChr m:val="("/>
            <m:sepChr m:val=""/>
            <m:endChr m:val=")"/>
            <m:grow/>
          </m:dPr>
          <m:e>
            <m:r>
              <m:t>x</m:t>
            </m:r>
            <m:r>
              <m:rPr>
                <m:sty m:val="p"/>
              </m:rPr>
              <m:t>,</m:t>
            </m:r>
            <m:r>
              <m:t>y</m:t>
            </m:r>
            <m:r>
              <m:rPr>
                <m:sty m:val="p"/>
              </m:rPr>
              <m:t>,</m:t>
            </m:r>
            <m:r>
              <m:t>L</m:t>
            </m:r>
            <m:r>
              <m:t>1</m:t>
            </m:r>
            <m:r>
              <m:rPr>
                <m:sty m:val="p"/>
              </m:rPr>
              <m:t>,</m:t>
            </m:r>
            <m:r>
              <m:t>L</m:t>
            </m:r>
            <m:r>
              <m:t>2</m:t>
            </m:r>
            <m:r>
              <m:rPr>
                <m:sty m:val="p"/>
              </m:rPr>
              <m:t>,</m:t>
            </m:r>
            <m:r>
              <m:rPr>
                <m:sty m:val="p"/>
              </m:rPr>
              <m:t>…</m:t>
            </m:r>
          </m:e>
        </m:d>
      </m:oMath>
      <w:r>
        <w:t xml:space="preserve"> </w:t>
      </w:r>
      <w:r>
        <w:t xml:space="preserve">where L1 and L2 index polygon rings and multi-polygon parts. Geometries are split by type:</w:t>
      </w:r>
    </w:p>
    <w:p>
      <w:pPr>
        <w:pStyle w:val="Compact"/>
        <w:numPr>
          <w:ilvl w:val="0"/>
          <w:numId w:val="1001"/>
        </w:numPr>
      </w:pPr>
      <w:r>
        <w:rPr>
          <w:b/>
          <w:bCs/>
        </w:rPr>
        <w:t xml:space="preserve">POINT</w:t>
      </w:r>
      <w:r>
        <w:t xml:space="preserve">: direct warp</w:t>
      </w:r>
    </w:p>
    <w:p>
      <w:pPr>
        <w:pStyle w:val="Compact"/>
        <w:numPr>
          <w:ilvl w:val="0"/>
          <w:numId w:val="1001"/>
        </w:numPr>
      </w:pPr>
      <w:r>
        <w:rPr>
          <w:b/>
          <w:bCs/>
        </w:rPr>
        <w:t xml:space="preserve">LINESTRING</w:t>
      </w:r>
      <w:r>
        <w:t xml:space="preserve">: warp each vertex, retain order</w:t>
      </w:r>
      <w:r>
        <w:br/>
      </w:r>
    </w:p>
    <w:p>
      <w:pPr>
        <w:pStyle w:val="Compact"/>
        <w:numPr>
          <w:ilvl w:val="0"/>
          <w:numId w:val="1001"/>
        </w:numPr>
      </w:pPr>
      <w:r>
        <w:rPr>
          <w:b/>
          <w:bCs/>
        </w:rPr>
        <w:t xml:space="preserve">POLYGON</w:t>
      </w:r>
      <w:r>
        <w:t xml:space="preserve">: process each ring (identified by L1) independently</w:t>
      </w:r>
    </w:p>
    <w:p>
      <w:pPr>
        <w:pStyle w:val="Compact"/>
        <w:numPr>
          <w:ilvl w:val="0"/>
          <w:numId w:val="1001"/>
        </w:numPr>
      </w:pPr>
      <w:r>
        <w:rPr>
          <w:b/>
          <w:bCs/>
        </w:rPr>
        <w:t xml:space="preserve">MULTIPOLYGON</w:t>
      </w:r>
      <w:r>
        <w:t xml:space="preserve">: nested by (L1, L2) combinations</w:t>
      </w:r>
    </w:p>
    <w:p>
      <w:pPr>
        <w:pStyle w:val="FirstParagraph"/>
      </w:pPr>
      <w:r>
        <w:t xml:space="preserve">After transformation, polygon rings are explicitly closed by forcing first and last vertices to equality:</w:t>
      </w:r>
      <w:r>
        <w:t xml:space="preserve"> </w:t>
      </w:r>
      <m:oMath>
        <m:d>
          <m:dPr>
            <m:begChr m:val="("/>
            <m:sepChr m:val=""/>
            <m:endChr m:val=")"/>
            <m:grow/>
          </m:dPr>
          <m:e>
            <m:sSub>
              <m:e>
                <m:r>
                  <m:t>x</m:t>
                </m:r>
              </m:e>
              <m:sub>
                <m:r>
                  <m:t>1</m:t>
                </m:r>
              </m:sub>
            </m:sSub>
            <m:r>
              <m:rPr>
                <m:sty m:val="p"/>
              </m:rPr>
              <m:t>′</m:t>
            </m:r>
            <m:r>
              <m:rPr>
                <m:sty m:val="p"/>
              </m:rPr>
              <m:t>,</m:t>
            </m:r>
            <m:sSub>
              <m:e>
                <m:r>
                  <m:t>y</m:t>
                </m:r>
              </m:e>
              <m:sub>
                <m:r>
                  <m:t>1</m:t>
                </m:r>
              </m:sub>
            </m:sSub>
            <m:r>
              <m:rPr>
                <m:sty m:val="p"/>
              </m:rPr>
              <m:t>′</m:t>
            </m:r>
          </m:e>
        </m:d>
        <m:r>
          <m:rPr>
            <m:sty m:val="p"/>
          </m:rPr>
          <m:t>=</m:t>
        </m:r>
        <m:d>
          <m:dPr>
            <m:begChr m:val="("/>
            <m:sepChr m:val=""/>
            <m:endChr m:val=")"/>
            <m:grow/>
          </m:dPr>
          <m:e>
            <m:sSub>
              <m:e>
                <m:r>
                  <m:t>x</m:t>
                </m:r>
              </m:e>
              <m:sub>
                <m:r>
                  <m:t>n</m:t>
                </m:r>
              </m:sub>
            </m:sSub>
            <m:r>
              <m:rPr>
                <m:sty m:val="p"/>
              </m:rPr>
              <m:t>′</m:t>
            </m:r>
            <m:r>
              <m:rPr>
                <m:sty m:val="p"/>
              </m:rPr>
              <m:t>,</m:t>
            </m:r>
            <m:sSub>
              <m:e>
                <m:r>
                  <m:t>y</m:t>
                </m:r>
              </m:e>
              <m:sub>
                <m:r>
                  <m:t>n</m:t>
                </m:r>
              </m:sub>
            </m:sSub>
            <m:r>
              <m:rPr>
                <m:sty m:val="p"/>
              </m:rPr>
              <m:t>′</m:t>
            </m:r>
          </m:e>
        </m:d>
      </m:oMath>
      <w:r>
        <w:t xml:space="preserve">. This prevents numerical drift when the warp changes ring curvature. Geometries are rebuilt using sf constructors (</w:t>
      </w:r>
      <w:r>
        <w:rPr>
          <w:rStyle w:val="VerbatimChar"/>
        </w:rPr>
        <w:t xml:space="preserve">st_point()</w:t>
      </w:r>
      <w:r>
        <w:t xml:space="preserve">,</w:t>
      </w:r>
      <w:r>
        <w:t xml:space="preserve"> </w:t>
      </w:r>
      <w:r>
        <w:rPr>
          <w:rStyle w:val="VerbatimChar"/>
        </w:rPr>
        <w:t xml:space="preserve">st_linestring()</w:t>
      </w:r>
      <w:r>
        <w:t xml:space="preserve">,</w:t>
      </w:r>
      <w:r>
        <w:t xml:space="preserve"> </w:t>
      </w:r>
      <w:r>
        <w:rPr>
          <w:rStyle w:val="VerbatimChar"/>
        </w:rPr>
        <w:t xml:space="preserve">st_polygon()</w:t>
      </w:r>
      <w:r>
        <w:t xml:space="preserve">,</w:t>
      </w:r>
      <w:r>
        <w:t xml:space="preserve"> </w:t>
      </w:r>
      <w:r>
        <w:rPr>
          <w:rStyle w:val="VerbatimChar"/>
        </w:rPr>
        <w:t xml:space="preserve">st_multipolygon()</w:t>
      </w:r>
      <w:r>
        <w:t xml:space="preserve">), combined into an sfc with original CRS, and spliced back into an sf if appropriate. Attributes are preserved because only the geometry column is replaced.</w:t>
      </w:r>
    </w:p>
    <w:p>
      <w:pPr>
        <w:pStyle w:val="BodyText"/>
      </w:pPr>
      <w:r>
        <w:t xml:space="preserve">Error handling is per-geometry: failures emit a warning, return an empty geometry of the correct type, and continue processing others. This makes the transform robust in batch pipelines without aborting map production on single malformed features.</w:t>
      </w:r>
    </w:p>
    <w:p>
      <w:pPr>
        <w:pStyle w:val="BodyText"/>
      </w:pPr>
      <w:r>
        <w:t xml:space="preserve">Table 1 illustrates coordinate transformations across zones for a vertical transect, showing radial expansion in the focus, smooth compression in the glue, and identity mapping in the context.</w:t>
      </w:r>
    </w:p>
    <w:p>
      <w:pPr>
        <w:pStyle w:val="TableCaption"/>
      </w:pPr>
      <w:r>
        <w:t xml:space="preserve">Coordinate transformation across fisheye zones for selected points on a regular grid</w:t>
      </w:r>
    </w:p>
    <w:tbl>
      <w:tblPr>
        <w:tblStyle w:val="Table"/>
        <w:tblW w:type="auto" w:w="0"/>
        <w:tblLook w:firstRow="1" w:lastRow="0" w:firstColumn="0" w:lastColumn="0" w:noHBand="0" w:noVBand="0" w:val="0020"/>
        <w:tblCaption w:val="Coordinate transformation across fisheye zones for selected points on a regular grid"/>
      </w:tblPr>
      <w:tblGrid>
        <w:gridCol w:w="1131"/>
        <w:gridCol w:w="1131"/>
        <w:gridCol w:w="1131"/>
        <w:gridCol w:w="1131"/>
        <w:gridCol w:w="1131"/>
        <w:gridCol w:w="1131"/>
        <w:gridCol w:w="1131"/>
      </w:tblGrid>
      <w:tr>
        <w:trPr>
          <w:tblHeader w:val="on"/>
        </w:trPr>
        <w:tc>
          <w:tcPr/>
          <w:p>
            <w:pPr>
              <w:pStyle w:val="Compact"/>
              <w:jc w:val="right"/>
            </w:pPr>
            <w:r>
              <w:t xml:space="preserve">x</w:t>
            </w:r>
          </w:p>
        </w:tc>
        <w:tc>
          <w:tcPr/>
          <w:p>
            <w:pPr>
              <w:pStyle w:val="Compact"/>
              <w:jc w:val="right"/>
            </w:pPr>
            <w:r>
              <w:t xml:space="preserve">y</w:t>
            </w:r>
          </w:p>
        </w:tc>
        <w:tc>
          <w:tcPr/>
          <w:p>
            <w:pPr>
              <w:pStyle w:val="Compact"/>
              <w:jc w:val="right"/>
            </w:pPr>
            <w:r>
              <w:t xml:space="preserve">x_new</w:t>
            </w:r>
          </w:p>
        </w:tc>
        <w:tc>
          <w:tcPr/>
          <w:p>
            <w:pPr>
              <w:pStyle w:val="Compact"/>
              <w:jc w:val="right"/>
            </w:pPr>
            <w:r>
              <w:t xml:space="preserve">y_new</w:t>
            </w:r>
          </w:p>
        </w:tc>
        <w:tc>
          <w:tcPr/>
          <w:p>
            <w:pPr>
              <w:pStyle w:val="Compact"/>
              <w:jc w:val="left"/>
            </w:pPr>
            <w:r>
              <w:t xml:space="preserve">zone</w:t>
            </w:r>
          </w:p>
        </w:tc>
        <w:tc>
          <w:tcPr/>
          <w:p>
            <w:pPr>
              <w:pStyle w:val="Compact"/>
              <w:jc w:val="right"/>
            </w:pPr>
            <w:r>
              <w:t xml:space="preserve">r_orig</w:t>
            </w:r>
          </w:p>
        </w:tc>
        <w:tc>
          <w:tcPr/>
          <w:p>
            <w:pPr>
              <w:pStyle w:val="Compact"/>
              <w:jc w:val="right"/>
            </w:pPr>
            <w:r>
              <w:t xml:space="preserve">r_new</w:t>
            </w:r>
          </w:p>
        </w:tc>
      </w:tr>
      <w:tr>
        <w:tc>
          <w:tcPr/>
          <w:p>
            <w:pPr>
              <w:pStyle w:val="Compact"/>
              <w:jc w:val="right"/>
            </w:pPr>
            <w:r>
              <w:t xml:space="preserve">-1.0</w:t>
            </w:r>
          </w:p>
        </w:tc>
        <w:tc>
          <w:tcPr/>
          <w:p>
            <w:pPr>
              <w:pStyle w:val="Compact"/>
              <w:jc w:val="right"/>
            </w:pPr>
            <w:r>
              <w:t xml:space="preserve">-1</w:t>
            </w:r>
          </w:p>
        </w:tc>
        <w:tc>
          <w:tcPr/>
          <w:p>
            <w:pPr>
              <w:pStyle w:val="Compact"/>
              <w:jc w:val="right"/>
            </w:pPr>
            <w:r>
              <w:t xml:space="preserve">-1.000</w:t>
            </w:r>
          </w:p>
        </w:tc>
        <w:tc>
          <w:tcPr/>
          <w:p>
            <w:pPr>
              <w:pStyle w:val="Compact"/>
              <w:jc w:val="right"/>
            </w:pPr>
            <w:r>
              <w:t xml:space="preserve">-1.000</w:t>
            </w:r>
          </w:p>
        </w:tc>
        <w:tc>
          <w:tcPr/>
          <w:p>
            <w:pPr>
              <w:pStyle w:val="Compact"/>
              <w:jc w:val="left"/>
            </w:pPr>
            <w:r>
              <w:t xml:space="preserve">context</w:t>
            </w:r>
          </w:p>
        </w:tc>
        <w:tc>
          <w:tcPr/>
          <w:p>
            <w:pPr>
              <w:pStyle w:val="Compact"/>
              <w:jc w:val="right"/>
            </w:pPr>
            <w:r>
              <w:t xml:space="preserve">1.414</w:t>
            </w:r>
          </w:p>
        </w:tc>
        <w:tc>
          <w:tcPr/>
          <w:p>
            <w:pPr>
              <w:pStyle w:val="Compact"/>
              <w:jc w:val="right"/>
            </w:pPr>
            <w:r>
              <w:t xml:space="preserve">1.414</w:t>
            </w:r>
          </w:p>
        </w:tc>
      </w:tr>
      <w:tr>
        <w:tc>
          <w:tcPr/>
          <w:p>
            <w:pPr>
              <w:pStyle w:val="Compact"/>
              <w:jc w:val="right"/>
            </w:pPr>
            <w:r>
              <w:t xml:space="preserve">-0.9</w:t>
            </w:r>
          </w:p>
        </w:tc>
        <w:tc>
          <w:tcPr/>
          <w:p>
            <w:pPr>
              <w:pStyle w:val="Compact"/>
              <w:jc w:val="right"/>
            </w:pPr>
            <w:r>
              <w:t xml:space="preserve">-1</w:t>
            </w:r>
          </w:p>
        </w:tc>
        <w:tc>
          <w:tcPr/>
          <w:p>
            <w:pPr>
              <w:pStyle w:val="Compact"/>
              <w:jc w:val="right"/>
            </w:pPr>
            <w:r>
              <w:t xml:space="preserve">-0.900</w:t>
            </w:r>
          </w:p>
        </w:tc>
        <w:tc>
          <w:tcPr/>
          <w:p>
            <w:pPr>
              <w:pStyle w:val="Compact"/>
              <w:jc w:val="right"/>
            </w:pPr>
            <w:r>
              <w:t xml:space="preserve">-1.000</w:t>
            </w:r>
          </w:p>
        </w:tc>
        <w:tc>
          <w:tcPr/>
          <w:p>
            <w:pPr>
              <w:pStyle w:val="Compact"/>
              <w:jc w:val="left"/>
            </w:pPr>
            <w:r>
              <w:t xml:space="preserve">context</w:t>
            </w:r>
          </w:p>
        </w:tc>
        <w:tc>
          <w:tcPr/>
          <w:p>
            <w:pPr>
              <w:pStyle w:val="Compact"/>
              <w:jc w:val="right"/>
            </w:pPr>
            <w:r>
              <w:t xml:space="preserve">1.345</w:t>
            </w:r>
          </w:p>
        </w:tc>
        <w:tc>
          <w:tcPr/>
          <w:p>
            <w:pPr>
              <w:pStyle w:val="Compact"/>
              <w:jc w:val="right"/>
            </w:pPr>
            <w:r>
              <w:t xml:space="preserve">1.345</w:t>
            </w:r>
          </w:p>
        </w:tc>
      </w:tr>
      <w:tr>
        <w:tc>
          <w:tcPr/>
          <w:p>
            <w:pPr>
              <w:pStyle w:val="Compact"/>
              <w:jc w:val="right"/>
            </w:pPr>
            <w:r>
              <w:t xml:space="preserve">-0.8</w:t>
            </w:r>
          </w:p>
        </w:tc>
        <w:tc>
          <w:tcPr/>
          <w:p>
            <w:pPr>
              <w:pStyle w:val="Compact"/>
              <w:jc w:val="right"/>
            </w:pPr>
            <w:r>
              <w:t xml:space="preserve">-1</w:t>
            </w:r>
          </w:p>
        </w:tc>
        <w:tc>
          <w:tcPr/>
          <w:p>
            <w:pPr>
              <w:pStyle w:val="Compact"/>
              <w:jc w:val="right"/>
            </w:pPr>
            <w:r>
              <w:t xml:space="preserve">-0.800</w:t>
            </w:r>
          </w:p>
        </w:tc>
        <w:tc>
          <w:tcPr/>
          <w:p>
            <w:pPr>
              <w:pStyle w:val="Compact"/>
              <w:jc w:val="right"/>
            </w:pPr>
            <w:r>
              <w:t xml:space="preserve">-1.000</w:t>
            </w:r>
          </w:p>
        </w:tc>
        <w:tc>
          <w:tcPr/>
          <w:p>
            <w:pPr>
              <w:pStyle w:val="Compact"/>
              <w:jc w:val="left"/>
            </w:pPr>
            <w:r>
              <w:t xml:space="preserve">context</w:t>
            </w:r>
          </w:p>
        </w:tc>
        <w:tc>
          <w:tcPr/>
          <w:p>
            <w:pPr>
              <w:pStyle w:val="Compact"/>
              <w:jc w:val="right"/>
            </w:pPr>
            <w:r>
              <w:t xml:space="preserve">1.281</w:t>
            </w:r>
          </w:p>
        </w:tc>
        <w:tc>
          <w:tcPr/>
          <w:p>
            <w:pPr>
              <w:pStyle w:val="Compact"/>
              <w:jc w:val="right"/>
            </w:pPr>
            <w:r>
              <w:t xml:space="preserve">1.281</w:t>
            </w:r>
          </w:p>
        </w:tc>
      </w:tr>
      <w:tr>
        <w:tc>
          <w:tcPr/>
          <w:p>
            <w:pPr>
              <w:pStyle w:val="Compact"/>
              <w:jc w:val="right"/>
            </w:pPr>
            <w:r>
              <w:t xml:space="preserve">-0.7</w:t>
            </w:r>
          </w:p>
        </w:tc>
        <w:tc>
          <w:tcPr/>
          <w:p>
            <w:pPr>
              <w:pStyle w:val="Compact"/>
              <w:jc w:val="right"/>
            </w:pPr>
            <w:r>
              <w:t xml:space="preserve">-1</w:t>
            </w:r>
          </w:p>
        </w:tc>
        <w:tc>
          <w:tcPr/>
          <w:p>
            <w:pPr>
              <w:pStyle w:val="Compact"/>
              <w:jc w:val="right"/>
            </w:pPr>
            <w:r>
              <w:t xml:space="preserve">-0.111</w:t>
            </w:r>
          </w:p>
        </w:tc>
        <w:tc>
          <w:tcPr/>
          <w:p>
            <w:pPr>
              <w:pStyle w:val="Compact"/>
              <w:jc w:val="right"/>
            </w:pPr>
            <w:r>
              <w:t xml:space="preserve">-0.332</w:t>
            </w:r>
          </w:p>
        </w:tc>
        <w:tc>
          <w:tcPr/>
          <w:p>
            <w:pPr>
              <w:pStyle w:val="Compact"/>
              <w:jc w:val="left"/>
            </w:pPr>
            <w:r>
              <w:t xml:space="preserve">focus</w:t>
            </w:r>
          </w:p>
        </w:tc>
        <w:tc>
          <w:tcPr/>
          <w:p>
            <w:pPr>
              <w:pStyle w:val="Compact"/>
              <w:jc w:val="right"/>
            </w:pPr>
            <w:r>
              <w:t xml:space="preserve">0.316</w:t>
            </w:r>
          </w:p>
        </w:tc>
        <w:tc>
          <w:tcPr/>
          <w:p>
            <w:pPr>
              <w:pStyle w:val="Compact"/>
              <w:jc w:val="right"/>
            </w:pPr>
            <w:r>
              <w:t xml:space="preserve">0.350</w:t>
            </w:r>
          </w:p>
        </w:tc>
      </w:tr>
      <w:tr>
        <w:tc>
          <w:tcPr/>
          <w:p>
            <w:pPr>
              <w:pStyle w:val="Compact"/>
              <w:jc w:val="right"/>
            </w:pPr>
            <w:r>
              <w:t xml:space="preserve">-0.6</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-0.350</w:t>
            </w:r>
          </w:p>
        </w:tc>
        <w:tc>
          <w:tcPr/>
          <w:p>
            <w:pPr>
              <w:pStyle w:val="Compact"/>
              <w:jc w:val="left"/>
            </w:pPr>
            <w:r>
              <w:t xml:space="preserve">focus</w:t>
            </w:r>
          </w:p>
        </w:tc>
        <w:tc>
          <w:tcPr/>
          <w:p>
            <w:pPr>
              <w:pStyle w:val="Compact"/>
              <w:jc w:val="right"/>
            </w:pPr>
            <w:r>
              <w:t xml:space="preserve">0.300</w:t>
            </w:r>
          </w:p>
        </w:tc>
        <w:tc>
          <w:tcPr/>
          <w:p>
            <w:pPr>
              <w:pStyle w:val="Compact"/>
              <w:jc w:val="right"/>
            </w:pPr>
            <w:r>
              <w:t xml:space="preserve">0.350</w:t>
            </w:r>
          </w:p>
        </w:tc>
      </w:tr>
      <w:tr>
        <w:tc>
          <w:tcPr/>
          <w:p>
            <w:pPr>
              <w:pStyle w:val="Compact"/>
              <w:jc w:val="right"/>
            </w:pPr>
            <w:r>
              <w:t xml:space="preserve">-0.5</w:t>
            </w:r>
          </w:p>
        </w:tc>
        <w:tc>
          <w:tcPr/>
          <w:p>
            <w:pPr>
              <w:pStyle w:val="Compact"/>
              <w:jc w:val="right"/>
            </w:pPr>
            <w:r>
              <w:t xml:space="preserve">-1</w:t>
            </w:r>
          </w:p>
        </w:tc>
        <w:tc>
          <w:tcPr/>
          <w:p>
            <w:pPr>
              <w:pStyle w:val="Compact"/>
              <w:jc w:val="right"/>
            </w:pPr>
            <w:r>
              <w:t xml:space="preserve">0.111</w:t>
            </w:r>
          </w:p>
        </w:tc>
        <w:tc>
          <w:tcPr/>
          <w:p>
            <w:pPr>
              <w:pStyle w:val="Compact"/>
              <w:jc w:val="right"/>
            </w:pPr>
            <w:r>
              <w:t xml:space="preserve">-0.332</w:t>
            </w:r>
          </w:p>
        </w:tc>
        <w:tc>
          <w:tcPr/>
          <w:p>
            <w:pPr>
              <w:pStyle w:val="Compact"/>
              <w:jc w:val="left"/>
            </w:pPr>
            <w:r>
              <w:t xml:space="preserve">focus</w:t>
            </w:r>
          </w:p>
        </w:tc>
        <w:tc>
          <w:tcPr/>
          <w:p>
            <w:pPr>
              <w:pStyle w:val="Compact"/>
              <w:jc w:val="right"/>
            </w:pPr>
            <w:r>
              <w:t xml:space="preserve">0.316</w:t>
            </w:r>
          </w:p>
        </w:tc>
        <w:tc>
          <w:tcPr/>
          <w:p>
            <w:pPr>
              <w:pStyle w:val="Compact"/>
              <w:jc w:val="right"/>
            </w:pPr>
            <w:r>
              <w:t xml:space="preserve">0.350</w:t>
            </w:r>
          </w:p>
        </w:tc>
      </w:tr>
      <w:tr>
        <w:tc>
          <w:tcPr/>
          <w:p>
            <w:pPr>
              <w:pStyle w:val="Compact"/>
              <w:jc w:val="right"/>
            </w:pPr>
            <w:r>
              <w:t xml:space="preserve">-0.4</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-0.500</w:t>
            </w:r>
          </w:p>
        </w:tc>
        <w:tc>
          <w:tcPr/>
          <w:p>
            <w:pPr>
              <w:pStyle w:val="Compact"/>
              <w:jc w:val="left"/>
            </w:pPr>
            <w:r>
              <w:t xml:space="preserve">glue</w:t>
            </w:r>
          </w:p>
        </w:tc>
        <w:tc>
          <w:tcPr/>
          <w:p>
            <w:pPr>
              <w:pStyle w:val="Compact"/>
              <w:jc w:val="right"/>
            </w:pPr>
            <w:r>
              <w:t xml:space="preserve">0.500</w:t>
            </w:r>
          </w:p>
        </w:tc>
        <w:tc>
          <w:tcPr/>
          <w:p>
            <w:pPr>
              <w:pStyle w:val="Compact"/>
              <w:jc w:val="right"/>
            </w:pPr>
            <w:r>
              <w:t xml:space="preserve">0.500</w:t>
            </w:r>
          </w:p>
        </w:tc>
      </w:tr>
      <w:tr>
        <w:tc>
          <w:tcPr/>
          <w:p>
            <w:pPr>
              <w:pStyle w:val="Compact"/>
              <w:jc w:val="right"/>
            </w:pPr>
            <w:r>
              <w:t xml:space="preserve">-0.3</w:t>
            </w:r>
          </w:p>
        </w:tc>
        <w:tc>
          <w:tcPr/>
          <w:p>
            <w:pPr>
              <w:pStyle w:val="Compact"/>
              <w:jc w:val="right"/>
            </w:pPr>
            <w:r>
              <w:t xml:space="preserve">-1</w:t>
            </w:r>
          </w:p>
        </w:tc>
        <w:tc>
          <w:tcPr/>
          <w:p>
            <w:pPr>
              <w:pStyle w:val="Compact"/>
              <w:jc w:val="right"/>
            </w:pPr>
            <w:r>
              <w:t xml:space="preserve">-0.300</w:t>
            </w:r>
          </w:p>
        </w:tc>
        <w:tc>
          <w:tcPr/>
          <w:p>
            <w:pPr>
              <w:pStyle w:val="Compact"/>
              <w:jc w:val="right"/>
            </w:pPr>
            <w:r>
              <w:t xml:space="preserve">-0.400</w:t>
            </w:r>
          </w:p>
        </w:tc>
        <w:tc>
          <w:tcPr/>
          <w:p>
            <w:pPr>
              <w:pStyle w:val="Compact"/>
              <w:jc w:val="left"/>
            </w:pPr>
            <w:r>
              <w:t xml:space="preserve">glue</w:t>
            </w:r>
          </w:p>
        </w:tc>
        <w:tc>
          <w:tcPr/>
          <w:p>
            <w:pPr>
              <w:pStyle w:val="Compact"/>
              <w:jc w:val="right"/>
            </w:pPr>
            <w:r>
              <w:t xml:space="preserve">0.500</w:t>
            </w:r>
          </w:p>
        </w:tc>
        <w:tc>
          <w:tcPr/>
          <w:p>
            <w:pPr>
              <w:pStyle w:val="Compact"/>
              <w:jc w:val="right"/>
            </w:pPr>
            <w:r>
              <w:t xml:space="preserve">0.500</w:t>
            </w:r>
          </w:p>
        </w:tc>
      </w:tr>
      <w:tr>
        <w:tc>
          <w:tcPr/>
          <w:p>
            <w:pPr>
              <w:pStyle w:val="Compact"/>
              <w:jc w:val="right"/>
            </w:pPr>
            <w:r>
              <w:t xml:space="preserve">-0.2</w:t>
            </w:r>
          </w:p>
        </w:tc>
        <w:tc>
          <w:tcPr/>
          <w:p>
            <w:pPr>
              <w:pStyle w:val="Compact"/>
              <w:jc w:val="right"/>
            </w:pPr>
            <w:r>
              <w:t xml:space="preserve">-1</w:t>
            </w:r>
          </w:p>
        </w:tc>
        <w:tc>
          <w:tcPr/>
          <w:p>
            <w:pPr>
              <w:pStyle w:val="Compact"/>
              <w:jc w:val="right"/>
            </w:pPr>
            <w:r>
              <w:t xml:space="preserve">-0.208</w:t>
            </w:r>
          </w:p>
        </w:tc>
        <w:tc>
          <w:tcPr/>
          <w:p>
            <w:pPr>
              <w:pStyle w:val="Compact"/>
              <w:jc w:val="right"/>
            </w:pPr>
            <w:r>
              <w:t xml:space="preserve">-0.416</w:t>
            </w:r>
          </w:p>
        </w:tc>
        <w:tc>
          <w:tcPr/>
          <w:p>
            <w:pPr>
              <w:pStyle w:val="Compact"/>
              <w:jc w:val="left"/>
            </w:pPr>
            <w:r>
              <w:t xml:space="preserve">glue</w:t>
            </w:r>
          </w:p>
        </w:tc>
        <w:tc>
          <w:tcPr/>
          <w:p>
            <w:pPr>
              <w:pStyle w:val="Compact"/>
              <w:jc w:val="right"/>
            </w:pPr>
            <w:r>
              <w:t xml:space="preserve">0.447</w:t>
            </w:r>
          </w:p>
        </w:tc>
        <w:tc>
          <w:tcPr/>
          <w:p>
            <w:pPr>
              <w:pStyle w:val="Compact"/>
              <w:jc w:val="right"/>
            </w:pPr>
            <w:r>
              <w:t xml:space="preserve">0.466</w:t>
            </w:r>
          </w:p>
        </w:tc>
      </w:tr>
    </w:tbl>
    <w:bookmarkEnd w:id="37"/>
    <w:bookmarkStart w:id="38" w:name="design-and-extensibility"/>
    <w:p>
      <w:pPr>
        <w:pStyle w:val="Heading3"/>
      </w:pPr>
      <w:r>
        <w:t xml:space="preserve">Design and extensibility</w:t>
      </w:r>
    </w:p>
    <w:p>
      <w:pPr>
        <w:pStyle w:val="FirstParagraph"/>
      </w:pPr>
      <w:r>
        <w:t xml:space="preserve">Utilities in</w:t>
      </w:r>
      <w:r>
        <w:t xml:space="preserve"> </w:t>
      </w:r>
      <w:r>
        <w:rPr>
          <w:rStyle w:val="VerbatimChar"/>
        </w:rPr>
        <w:t xml:space="preserve">utils.R</w:t>
      </w:r>
      <w:r>
        <w:t xml:space="preserve"> </w:t>
      </w:r>
      <w:r>
        <w:t xml:space="preserve">provide</w:t>
      </w:r>
      <w:r>
        <w:t xml:space="preserve"> </w:t>
      </w:r>
      <w:r>
        <w:rPr>
          <w:rStyle w:val="VerbatimChar"/>
        </w:rPr>
        <w:t xml:space="preserve">create_test_grid()</w:t>
      </w:r>
      <w:r>
        <w:t xml:space="preserve"> </w:t>
      </w:r>
      <w:r>
        <w:t xml:space="preserve">for diagnostics,</w:t>
      </w:r>
      <w:r>
        <w:t xml:space="preserve"> </w:t>
      </w:r>
      <w:r>
        <w:rPr>
          <w:rStyle w:val="VerbatimChar"/>
        </w:rPr>
        <w:t xml:space="preserve">classify_zones()</w:t>
      </w:r>
      <w:r>
        <w:t xml:space="preserve"> </w:t>
      </w:r>
      <w:r>
        <w:t xml:space="preserve">for labeling, and</w:t>
      </w:r>
      <w:r>
        <w:t xml:space="preserve"> </w:t>
      </w:r>
      <w:r>
        <w:rPr>
          <w:rStyle w:val="VerbatimChar"/>
        </w:rPr>
        <w:t xml:space="preserve">plot_fisheye_fgc()</w:t>
      </w:r>
      <w:r>
        <w:t xml:space="preserve"> </w:t>
      </w:r>
      <w:r>
        <w:t xml:space="preserve">for visualization. Dataset documentation in</w:t>
      </w:r>
      <w:r>
        <w:t xml:space="preserve"> </w:t>
      </w:r>
      <w:r>
        <w:rPr>
          <w:rStyle w:val="VerbatimChar"/>
        </w:rPr>
        <w:t xml:space="preserve">data.R</w:t>
      </w:r>
      <w:r>
        <w:t xml:space="preserve"> </w:t>
      </w:r>
      <w:r>
        <w:t xml:space="preserve">accompanies example layers (vic, vic_fish, conn_fish) used in tests.</w:t>
      </w:r>
    </w:p>
    <w:p>
      <w:pPr>
        <w:pStyle w:val="BodyText"/>
      </w:pPr>
      <w:r>
        <w:t xml:space="preserve">The modular architecture enables straightforward extensions. Alternate radial profiles swap</w:t>
      </w:r>
      <w:r>
        <w:t xml:space="preserve"> </w:t>
      </w:r>
      <w:r>
        <w:rPr>
          <w:rStyle w:val="VerbatimChar"/>
        </w:rPr>
        <w:t xml:space="preserve">fisheye_fgc()</w:t>
      </w:r>
      <w:r>
        <w:t xml:space="preserve"> </w:t>
      </w:r>
      <w:r>
        <w:t xml:space="preserve">while retaining the pipeline; additional geometry types extend</w:t>
      </w:r>
      <w:r>
        <w:t xml:space="preserve"> </w:t>
      </w:r>
      <w:r>
        <w:rPr>
          <w:rStyle w:val="VerbatimChar"/>
        </w:rPr>
        <w:t xml:space="preserve">st_transform_custom()</w:t>
      </w:r>
      <w:r>
        <w:t xml:space="preserve">; raster integration would follow a similar compute-map-resample pattern. Because modules communicate through simple contracts (matrices in, matrices out), evolutions can be undertaken incrementally and verified through the existing test scaffolding.</w:t>
      </w:r>
    </w:p>
    <w:p>
      <w:pPr>
        <w:pStyle w:val="BodyText"/>
      </w:pPr>
      <w:r>
        <w:t xml:space="preserve">For multi-layer maps, apply the same parameter set (center, radii, zoom, squeeze, method, revolution) to each layer to maintain spatial alignment. The pipeline ensures coincident warps provided the same working CRS and normalization are used. In practice, analysts capture parameters in a list and pass to</w:t>
      </w:r>
      <w:r>
        <w:t xml:space="preserve"> </w:t>
      </w:r>
      <w:r>
        <w:rPr>
          <w:rStyle w:val="VerbatimChar"/>
        </w:rPr>
        <w:t xml:space="preserve">sf_fisheye()</w:t>
      </w:r>
      <w:r>
        <w:t xml:space="preserve"> </w:t>
      </w:r>
      <w:r>
        <w:t xml:space="preserve">for each layer, simplifying reproducible workflows.</w:t>
      </w:r>
    </w:p>
    <w:p>
      <w:pPr>
        <w:pStyle w:val="BodyText"/>
      </w:pPr>
      <w:r>
        <w:t xml:space="preserve">The test suite mirrors the modular structure, covering boundary behaviour, zone labeling, CRS round-trips, ring closure, and performance. Functions follow tidyverse conventions: verb names (</w:t>
      </w:r>
      <w:r>
        <w:rPr>
          <w:rStyle w:val="VerbatimChar"/>
        </w:rPr>
        <w:t xml:space="preserve">sf_fisheye()</w:t>
      </w:r>
      <w:r>
        <w:t xml:space="preserve">,</w:t>
      </w:r>
      <w:r>
        <w:t xml:space="preserve"> </w:t>
      </w:r>
      <w:r>
        <w:rPr>
          <w:rStyle w:val="VerbatimChar"/>
        </w:rPr>
        <w:t xml:space="preserve">plot_fisheye_fgc()</w:t>
      </w:r>
      <w:r>
        <w:t xml:space="preserve">), snake_case parameters, small exported surface. Stability is guaranteed for</w:t>
      </w:r>
      <w:r>
        <w:t xml:space="preserve"> </w:t>
      </w:r>
      <w:r>
        <w:rPr>
          <w:rStyle w:val="VerbatimChar"/>
        </w:rPr>
        <w:t xml:space="preserve">fisheye_fgc()</w:t>
      </w:r>
      <w:r>
        <w:t xml:space="preserve">,</w:t>
      </w:r>
      <w:r>
        <w:t xml:space="preserve"> </w:t>
      </w:r>
      <w:r>
        <w:rPr>
          <w:rStyle w:val="VerbatimChar"/>
        </w:rPr>
        <w:t xml:space="preserve">sf_fisheye()</w:t>
      </w:r>
      <w:r>
        <w:t xml:space="preserve">,</w:t>
      </w:r>
      <w:r>
        <w:t xml:space="preserve"> </w:t>
      </w:r>
      <w:r>
        <w:rPr>
          <w:rStyle w:val="VerbatimChar"/>
        </w:rPr>
        <w:t xml:space="preserve">st_transform_custom()</w:t>
      </w:r>
      <w:r>
        <w:t xml:space="preserve">, and documented utilities.</w:t>
      </w:r>
    </w:p>
    <w:bookmarkEnd w:id="38"/>
    <w:bookmarkEnd w:id="39"/>
    <w:bookmarkStart w:id="40" w:name="parameters"/>
    <w:p>
      <w:pPr>
        <w:pStyle w:val="Heading2"/>
      </w:pPr>
      <w:r>
        <w:t xml:space="preserve">Parameters</w:t>
      </w:r>
    </w:p>
    <w:p>
      <w:pPr>
        <w:pStyle w:val="FirstParagraph"/>
      </w:pPr>
      <w:r>
        <w:t xml:space="preserve">The principal user interface is</w:t>
      </w:r>
      <w:r>
        <w:t xml:space="preserve"> </w:t>
      </w:r>
      <w:r>
        <w:rPr>
          <w:rStyle w:val="VerbatimChar"/>
        </w:rPr>
        <w:t xml:space="preserve">sf_fisheye()</w:t>
      </w:r>
      <w:r>
        <w:t xml:space="preserve">, which accepts an</w:t>
      </w:r>
      <w:r>
        <w:t xml:space="preserve"> </w:t>
      </w:r>
      <w:r>
        <w:rPr>
          <w:rStyle w:val="VerbatimChar"/>
        </w:rPr>
        <w:t xml:space="preserve">sf</w:t>
      </w:r>
      <w:r>
        <w:t xml:space="preserve"> </w:t>
      </w:r>
      <w:r>
        <w:t xml:space="preserve">or</w:t>
      </w:r>
      <w:r>
        <w:t xml:space="preserve"> </w:t>
      </w:r>
      <w:r>
        <w:rPr>
          <w:rStyle w:val="VerbatimChar"/>
        </w:rPr>
        <w:t xml:space="preserve">sfc</w:t>
      </w:r>
      <w:r>
        <w:t xml:space="preserve"> </w:t>
      </w:r>
      <w:r>
        <w:t xml:space="preserve">object</w:t>
      </w:r>
      <w:r>
        <w:t xml:space="preserve"> </w:t>
      </w:r>
      <w:r>
        <w:t xml:space="preserve">and returns an object of the same top-level class whose geometry has been warped in a projection-</w:t>
      </w:r>
      <w:r>
        <w:t xml:space="preserve"> </w:t>
      </w:r>
      <w:r>
        <w:t xml:space="preserve">aware manner. For clarity, we group arguments into data/CRS handling, centre selection, and radial</w:t>
      </w:r>
      <w:r>
        <w:t xml:space="preserve"> </w:t>
      </w:r>
      <w:r>
        <w:t xml:space="preserve">warping, and we make explicit the invariants enforced by the implementation.</w:t>
      </w:r>
    </w:p>
    <w:p>
      <w:pPr>
        <w:pStyle w:val="BodyText"/>
      </w:pPr>
      <w:r>
        <w:rPr>
          <w:b/>
          <w:bCs/>
        </w:rPr>
        <w:t xml:space="preserve">Data and CRS.</w:t>
      </w:r>
      <w:r>
        <w:t xml:space="preserve"> </w:t>
      </w:r>
      <w:r>
        <w:t xml:space="preserve">The argument</w:t>
      </w:r>
      <w:r>
        <w:t xml:space="preserve"> </w:t>
      </w:r>
      <w:r>
        <w:rPr>
          <w:rStyle w:val="VerbatimChar"/>
        </w:rPr>
        <w:t xml:space="preserve">sf_obj</w:t>
      </w:r>
      <w:r>
        <w:t xml:space="preserve"> </w:t>
      </w:r>
      <w:r>
        <w:t xml:space="preserve">supplies the features to be transformed. Before any</w:t>
      </w:r>
      <w:r>
        <w:t xml:space="preserve"> </w:t>
      </w:r>
      <w:r>
        <w:t xml:space="preserve">calculation, empty geometries are removed and Z/M dimensions are dropped using</w:t>
      </w:r>
      <w:r>
        <w:t xml:space="preserve"> </w:t>
      </w:r>
      <w:r>
        <w:rPr>
          <w:rStyle w:val="VerbatimChar"/>
        </w:rPr>
        <w:t xml:space="preserve">sf::st_zm()</w:t>
      </w:r>
      <w:r>
        <w:t xml:space="preserve">, so</w:t>
      </w:r>
      <w:r>
        <w:t xml:space="preserve"> </w:t>
      </w:r>
      <w:r>
        <w:t xml:space="preserve">that downstream computation operates on a strict</w:t>
      </w:r>
      <w:r>
        <w:t xml:space="preserve"> </w:t>
      </w:r>
      <m:oMath>
        <m:r>
          <m:t>n</m:t>
        </m:r>
        <m:r>
          <m:rPr>
            <m:sty m:val="p"/>
          </m:rPr>
          <m:t>×</m:t>
        </m:r>
        <m:r>
          <m:t>2</m:t>
        </m:r>
      </m:oMath>
      <w:r>
        <w:t xml:space="preserve"> </w:t>
      </w:r>
      <w:r>
        <w:t xml:space="preserve">coordinate matrix. The optional</w:t>
      </w:r>
      <w:r>
        <w:t xml:space="preserve"> </w:t>
      </w:r>
      <w:r>
        <w:rPr>
          <w:rStyle w:val="VerbatimChar"/>
        </w:rPr>
        <w:t xml:space="preserve">target_crs</w:t>
      </w:r>
      <w:r>
        <w:t xml:space="preserve"> </w:t>
      </w:r>
      <w:r>
        <w:t xml:space="preserve">sets the working projected CRS; if provided, the input is transformed via</w:t>
      </w:r>
      <w:r>
        <w:t xml:space="preserve"> </w:t>
      </w:r>
      <w:r>
        <w:rPr>
          <w:rStyle w:val="VerbatimChar"/>
        </w:rPr>
        <w:t xml:space="preserve">sf::st_transform()</w:t>
      </w:r>
      <w:r>
        <w:t xml:space="preserve"> </w:t>
      </w:r>
      <w:r>
        <w:t xml:space="preserve">and the original CRS is restored on return. When</w:t>
      </w:r>
      <w:r>
        <w:t xml:space="preserve"> </w:t>
      </w:r>
      <w:r>
        <w:rPr>
          <w:rStyle w:val="VerbatimChar"/>
        </w:rPr>
        <w:t xml:space="preserve">target_crs = NULL</w:t>
      </w:r>
      <w:r>
        <w:t xml:space="preserve"> </w:t>
      </w:r>
      <w:r>
        <w:t xml:space="preserve">and the input is geographic (lon/lat), a projected working CRS is chosen deterministically from the</w:t>
      </w:r>
      <w:r>
        <w:t xml:space="preserve"> </w:t>
      </w:r>
      <w:r>
        <w:t xml:space="preserve">layer’s centroid: for Victoria, Australia, GDA2020 / MGA Zone 55 (EPSG:7855) is used; otherwise a</w:t>
      </w:r>
      <w:r>
        <w:t xml:space="preserve"> </w:t>
      </w:r>
      <w:r>
        <w:t xml:space="preserve">UTM zone is inferred by longitude and hemisphere. This choice ensures the fisheye operates in metric</w:t>
      </w:r>
      <w:r>
        <w:t xml:space="preserve"> </w:t>
      </w:r>
      <w:r>
        <w:t xml:space="preserve">units with bounded distortion across the extent of interest. The</w:t>
      </w:r>
      <w:r>
        <w:t xml:space="preserve"> </w:t>
      </w:r>
      <w:r>
        <w:rPr>
          <w:rStyle w:val="VerbatimChar"/>
        </w:rPr>
        <w:t xml:space="preserve">preserve_aspect</w:t>
      </w:r>
      <w:r>
        <w:t xml:space="preserve"> </w:t>
      </w:r>
      <w:r>
        <w:t xml:space="preserve">flag governs</w:t>
      </w:r>
      <w:r>
        <w:t xml:space="preserve"> </w:t>
      </w:r>
      <w:r>
        <w:t xml:space="preserve">normalisation: with</w:t>
      </w:r>
      <w:r>
        <w:t xml:space="preserve"> </w:t>
      </w:r>
      <w:r>
        <w:rPr>
          <w:rStyle w:val="VerbatimChar"/>
        </w:rPr>
        <w:t xml:space="preserve">TRUE</w:t>
      </w:r>
      <w:r>
        <w:t xml:space="preserve"> </w:t>
      </w:r>
      <w:r>
        <w:t xml:space="preserve">(default) a uniform scale</w:t>
      </w:r>
      <w:r>
        <w:t xml:space="preserve"> </w:t>
      </w:r>
      <m:oMath>
        <m:r>
          <m:t>s</m:t>
        </m:r>
        <m:r>
          <m:rPr>
            <m:sty m:val="p"/>
          </m:rPr>
          <m:t>=</m:t>
        </m:r>
        <m:r>
          <m:rPr>
            <m:sty m:val="p"/>
          </m:rPr>
          <m:t>max</m:t>
        </m:r>
        <m:d>
          <m:dPr>
            <m:begChr m:val="("/>
            <m:sepChr m:val=""/>
            <m:endChr m:val=")"/>
            <m:grow/>
          </m:dPr>
          <m:e>
            <m:sSub>
              <m:e>
                <m:r>
                  <m:t>s</m:t>
                </m:r>
              </m:e>
              <m:sub>
                <m:r>
                  <m:t>x</m:t>
                </m:r>
              </m:sub>
            </m:sSub>
            <m:r>
              <m:rPr>
                <m:sty m:val="p"/>
              </m:rPr>
              <m:t>,</m:t>
            </m:r>
            <m:sSub>
              <m:e>
                <m:r>
                  <m:t>s</m:t>
                </m:r>
              </m:e>
              <m:sub>
                <m:r>
                  <m:t>y</m:t>
                </m:r>
              </m:sub>
            </m:sSub>
          </m:e>
        </m:d>
      </m:oMath>
      <w:r>
        <w:t xml:space="preserve"> </w:t>
      </w:r>
      <w:r>
        <w:t xml:space="preserve">is applied, where</w:t>
      </w:r>
      <w:r>
        <w:t xml:space="preserve"> </w:t>
      </w:r>
      <m:oMath>
        <m:sSub>
          <m:e>
            <m:r>
              <m:t>s</m:t>
            </m:r>
          </m:e>
          <m:sub>
            <m:r>
              <m:t>x</m:t>
            </m:r>
          </m:sub>
        </m:sSub>
        <m:r>
          <m:rPr>
            <m:sty m:val="p"/>
          </m:rPr>
          <m:t>,</m:t>
        </m:r>
        <m:sSub>
          <m:e>
            <m:r>
              <m:t>s</m:t>
            </m:r>
          </m:e>
          <m:sub>
            <m:r>
              <m:t>y</m:t>
            </m:r>
          </m:sub>
        </m:sSub>
      </m:oMath>
      <w:r>
        <w:t xml:space="preserve"> </w:t>
      </w:r>
      <w:r>
        <w:t xml:space="preserve">are bbox half-spans; with</w:t>
      </w:r>
      <w:r>
        <w:t xml:space="preserve"> </w:t>
      </w:r>
      <w:r>
        <w:rPr>
          <w:rStyle w:val="VerbatimChar"/>
        </w:rPr>
        <w:t xml:space="preserve">FALSE</w:t>
      </w:r>
      <w:r>
        <w:t xml:space="preserve">, independent scales are used per axis. Uniform</w:t>
      </w:r>
      <w:r>
        <w:t xml:space="preserve"> </w:t>
      </w:r>
      <w:r>
        <w:t xml:space="preserve">scaling preserves circular symmetry of the focus and glue; per-axis scaling yields an elliptical</w:t>
      </w:r>
      <w:r>
        <w:t xml:space="preserve"> </w:t>
      </w:r>
      <w:r>
        <w:t xml:space="preserve">interpretation that can be useful for long, narrow extents but should be used deliberately. Degenerate</w:t>
      </w:r>
      <w:r>
        <w:t xml:space="preserve"> </w:t>
      </w:r>
      <w:r>
        <w:t xml:space="preserve">cases (</w:t>
      </w:r>
      <m:oMath>
        <m:sSub>
          <m:e>
            <m:r>
              <m:t>s</m:t>
            </m:r>
          </m:e>
          <m:sub>
            <m:r>
              <m:t>x</m:t>
            </m:r>
          </m:sub>
        </m:sSub>
        <m:r>
          <m:rPr>
            <m:sty m:val="p"/>
          </m:rPr>
          <m:t>=</m:t>
        </m:r>
        <m:r>
          <m:t>0</m:t>
        </m:r>
      </m:oMath>
      <w:r>
        <w:t xml:space="preserve"> </w:t>
      </w:r>
      <w:r>
        <w:t xml:space="preserve">or</w:t>
      </w:r>
      <w:r>
        <w:t xml:space="preserve"> </w:t>
      </w:r>
      <m:oMath>
        <m:sSub>
          <m:e>
            <m:r>
              <m:t>s</m:t>
            </m:r>
          </m:e>
          <m:sub>
            <m:r>
              <m:t>y</m:t>
            </m:r>
          </m:sub>
        </m:sSub>
        <m:r>
          <m:rPr>
            <m:sty m:val="p"/>
          </m:rPr>
          <m:t>=</m:t>
        </m:r>
        <m:r>
          <m:t>0</m:t>
        </m:r>
      </m:oMath>
      <w:r>
        <w:t xml:space="preserve">) are handled by substituting a unit scale to avoid division by zero.</w:t>
      </w:r>
    </w:p>
    <w:p>
      <w:pPr>
        <w:pStyle w:val="BodyText"/>
      </w:pPr>
      <w:r>
        <w:rPr>
          <w:b/>
          <w:bCs/>
        </w:rPr>
        <w:t xml:space="preserve">Centre selection.</w:t>
      </w:r>
      <w:r>
        <w:t xml:space="preserve"> </w:t>
      </w:r>
      <w:r>
        <w:t xml:space="preserve">The lens centre may be specified in several forms. The preferred interface</w:t>
      </w:r>
      <w:r>
        <w:t xml:space="preserve"> </w:t>
      </w:r>
      <w:r>
        <w:t xml:space="preserve">is</w:t>
      </w:r>
      <w:r>
        <w:t xml:space="preserve"> </w:t>
      </w:r>
      <w:r>
        <w:rPr>
          <w:rStyle w:val="VerbatimChar"/>
        </w:rPr>
        <w:t xml:space="preserve">center</w:t>
      </w:r>
      <w:r>
        <w:t xml:space="preserve">, which takes precedence over legacy</w:t>
      </w:r>
      <w:r>
        <w:t xml:space="preserve"> </w:t>
      </w:r>
      <w:r>
        <w:rPr>
          <w:rStyle w:val="VerbatimChar"/>
        </w:rPr>
        <w:t xml:space="preserve">cx</w:t>
      </w:r>
      <w:r>
        <w:t xml:space="preserve">,</w:t>
      </w:r>
      <w:r>
        <w:t xml:space="preserve"> </w:t>
      </w:r>
      <w:r>
        <w:rPr>
          <w:rStyle w:val="VerbatimChar"/>
        </w:rPr>
        <w:t xml:space="preserve">cy</w:t>
      </w:r>
      <w:r>
        <w:t xml:space="preserve">. If</w:t>
      </w:r>
      <w:r>
        <w:t xml:space="preserve"> </w:t>
      </w:r>
      <w:r>
        <w:rPr>
          <w:rStyle w:val="VerbatimChar"/>
        </w:rPr>
        <w:t xml:space="preserve">center</w:t>
      </w:r>
      <w:r>
        <w:t xml:space="preserve"> </w:t>
      </w:r>
      <w:r>
        <w:t xml:space="preserve">is a</w:t>
      </w:r>
      <w:r>
        <w:t xml:space="preserve"> </w:t>
      </w:r>
      <w:r>
        <w:t xml:space="preserve">numeric pair and</w:t>
      </w:r>
      <w:r>
        <w:t xml:space="preserve"> </w:t>
      </w:r>
      <w:r>
        <w:rPr>
          <w:rStyle w:val="VerbatimChar"/>
        </w:rPr>
        <w:t xml:space="preserve">center_crs</w:t>
      </w:r>
      <w:r>
        <w:t xml:space="preserve"> </w:t>
      </w:r>
      <w:r>
        <w:t xml:space="preserve">is provided (e.g.,</w:t>
      </w:r>
      <w:r>
        <w:t xml:space="preserve"> </w:t>
      </w:r>
      <w:r>
        <w:rPr>
          <w:rStyle w:val="VerbatimChar"/>
        </w:rPr>
        <w:t xml:space="preserve">"EPSG:4326"</w:t>
      </w:r>
      <w:r>
        <w:t xml:space="preserve">), the point is transformed</w:t>
      </w:r>
      <w:r>
        <w:t xml:space="preserve"> </w:t>
      </w:r>
      <w:r>
        <w:t xml:space="preserve">into the working CRS. If</w:t>
      </w:r>
      <w:r>
        <w:t xml:space="preserve"> </w:t>
      </w:r>
      <w:r>
        <w:rPr>
          <w:rStyle w:val="VerbatimChar"/>
        </w:rPr>
        <w:t xml:space="preserve">center_crs</w:t>
      </w:r>
      <w:r>
        <w:t xml:space="preserve"> </w:t>
      </w:r>
      <w:r>
        <w:t xml:space="preserve">is omitted, a heuristic interprets pairs that lie within</w:t>
      </w:r>
      <w:r>
        <w:t xml:space="preserve"> </w:t>
      </w:r>
      <m:oMath>
        <m:d>
          <m:dPr>
            <m:begChr m:val="|"/>
            <m:sepChr m:val=""/>
            <m:endChr m:val="|"/>
            <m:grow/>
          </m:dPr>
          <m:e>
            <m:r>
              <m:rPr>
                <m:nor/>
                <m:sty m:val="p"/>
              </m:rPr>
              <m:t>lon</m:t>
            </m:r>
          </m:e>
        </m:d>
        <m:r>
          <m:rPr>
            <m:sty m:val="p"/>
          </m:rPr>
          <m:t>≤</m:t>
        </m:r>
        <m:r>
          <m:t>180</m:t>
        </m:r>
      </m:oMath>
      <w:r>
        <w:t xml:space="preserve">,</w:t>
      </w:r>
      <w:r>
        <w:t xml:space="preserve"> </w:t>
      </w:r>
      <m:oMath>
        <m:d>
          <m:dPr>
            <m:begChr m:val="|"/>
            <m:sepChr m:val=""/>
            <m:endChr m:val="|"/>
            <m:grow/>
          </m:dPr>
          <m:e>
            <m:r>
              <m:rPr>
                <m:nor/>
                <m:sty m:val="p"/>
              </m:rPr>
              <m:t>lat</m:t>
            </m:r>
          </m:e>
        </m:d>
        <m:r>
          <m:rPr>
            <m:sty m:val="p"/>
          </m:rPr>
          <m:t>≤</m:t>
        </m:r>
        <m:r>
          <m:t>90</m:t>
        </m:r>
      </m:oMath>
      <w:r>
        <w:t xml:space="preserve"> </w:t>
      </w:r>
      <w:r>
        <w:t xml:space="preserve">as WGS84 and transforms them accordingly; otherwise</w:t>
      </w:r>
      <w:r>
        <w:t xml:space="preserve"> </w:t>
      </w:r>
      <w:r>
        <w:t xml:space="preserve">the values are assumed to be already in working-CRS map units. Any</w:t>
      </w:r>
      <w:r>
        <w:t xml:space="preserve"> </w:t>
      </w:r>
      <w:r>
        <w:rPr>
          <w:rStyle w:val="VerbatimChar"/>
        </w:rPr>
        <w:t xml:space="preserve">sf</w:t>
      </w:r>
      <w:r>
        <w:t xml:space="preserve">/</w:t>
      </w:r>
      <w:r>
        <w:rPr>
          <w:rStyle w:val="VerbatimChar"/>
        </w:rPr>
        <w:t xml:space="preserve">sfc</w:t>
      </w:r>
      <w:r>
        <w:t xml:space="preserve"> </w:t>
      </w:r>
      <w:r>
        <w:t xml:space="preserve">geometry may</w:t>
      </w:r>
      <w:r>
        <w:t xml:space="preserve"> </w:t>
      </w:r>
      <w:r>
        <w:t xml:space="preserve">be used as</w:t>
      </w:r>
      <w:r>
        <w:t xml:space="preserve"> </w:t>
      </w:r>
      <w:r>
        <w:rPr>
          <w:rStyle w:val="VerbatimChar"/>
        </w:rPr>
        <w:t xml:space="preserve">center</w:t>
      </w:r>
      <w:r>
        <w:t xml:space="preserve">; non-point centres are combined and reduced to a centroid and then</w:t>
      </w:r>
      <w:r>
        <w:t xml:space="preserve"> </w:t>
      </w:r>
      <w:r>
        <w:t xml:space="preserve">transformed to the working CRS, which is often convenient when the focal area is a polygon (e.g., a</w:t>
      </w:r>
      <w:r>
        <w:t xml:space="preserve"> </w:t>
      </w:r>
      <w:r>
        <w:t xml:space="preserve">CBD boundary) or a set of points (e.g., incident locations). Finally, when the argument</w:t>
      </w:r>
      <w:r>
        <w:t xml:space="preserve"> </w:t>
      </w:r>
      <w:r>
        <w:rPr>
          <w:rStyle w:val="VerbatimChar"/>
        </w:rPr>
        <w:t xml:space="preserve">{normalized_center = TRUE}</w:t>
      </w:r>
      <w:r>
        <w:t xml:space="preserve">,</w:t>
      </w:r>
      <w:r>
        <w:t xml:space="preserve"> </w:t>
      </w:r>
      <w:r>
        <w:rPr>
          <w:rStyle w:val="VerbatimChar"/>
        </w:rPr>
        <w:t xml:space="preserve">center</w:t>
      </w:r>
      <w:r>
        <w:t xml:space="preserve"> </w:t>
      </w:r>
      <w:r>
        <w:t xml:space="preserve">is interpreted as a pair in</w:t>
      </w:r>
      <w:r>
        <w:t xml:space="preserve"> </w:t>
      </w:r>
      <m:oMath>
        <m:d>
          <m:dPr>
            <m:begChr m:val="["/>
            <m:sepChr m:val=""/>
            <m:endChr m:val="]"/>
            <m:grow/>
          </m:dPr>
          <m:e>
            <m:r>
              <m:rPr>
                <m:sty m:val="p"/>
              </m:rPr>
              <m:t>−</m:t>
            </m:r>
            <m:r>
              <m:t>1</m:t>
            </m:r>
            <m:r>
              <m:rPr>
                <m:sty m:val="p"/>
              </m:rPr>
              <m:t>,</m:t>
            </m:r>
            <m:r>
              <m:t>1</m:t>
            </m:r>
          </m:e>
        </m:d>
      </m:oMath>
      <w:r>
        <w:t xml:space="preserve"> </w:t>
      </w:r>
      <w:r>
        <w:t xml:space="preserve">relative to the bbox midpoint and the</w:t>
      </w:r>
      <w:r>
        <w:t xml:space="preserve"> </w:t>
      </w:r>
      <w:r>
        <w:t xml:space="preserve">chosen normalisation (uniform or per-axis). Normalised centres make parameter sets portable across</w:t>
      </w:r>
      <w:r>
        <w:t xml:space="preserve"> </w:t>
      </w:r>
      <w:r>
        <w:t xml:space="preserve">datasets of different extents and are a natural fit for parameter sweeps in reproducible pipelines.</w:t>
      </w:r>
      <w:r>
        <w:t xml:space="preserve"> </w:t>
      </w:r>
      <w:r>
        <w:t xml:space="preserve">If no centre is supplied, the bbox midpoint is used; this default is stable under reprojection.</w:t>
      </w:r>
    </w:p>
    <w:p>
      <w:pPr>
        <w:pStyle w:val="BodyText"/>
      </w:pPr>
      <w:r>
        <w:rPr>
          <w:b/>
          <w:bCs/>
        </w:rPr>
        <w:t xml:space="preserve">Radial warping.</w:t>
      </w:r>
      <w:r>
        <w:t xml:space="preserve"> </w:t>
      </w:r>
      <w:r>
        <w:t xml:space="preserve">The radii</w:t>
      </w:r>
      <w:r>
        <w:t xml:space="preserve"> </w:t>
      </w:r>
      <w:r>
        <w:rPr>
          <w:rStyle w:val="VerbatimChar"/>
        </w:rPr>
        <w:t xml:space="preserve">r_in</w:t>
      </w:r>
      <w:r>
        <w:t xml:space="preserve"> </w:t>
      </w:r>
      <w:r>
        <w:t xml:space="preserve">and</w:t>
      </w:r>
      <w:r>
        <w:t xml:space="preserve"> </w:t>
      </w:r>
      <w:r>
        <w:rPr>
          <w:rStyle w:val="VerbatimChar"/>
        </w:rPr>
        <w:t xml:space="preserve">r_out</w:t>
      </w:r>
      <w:r>
        <w:t xml:space="preserve"> </w:t>
      </w:r>
      <w:r>
        <w:t xml:space="preserve">define the focus and glue boundaries</w:t>
      </w:r>
      <w:r>
        <w:t xml:space="preserve"> </w:t>
      </w:r>
      <w:r>
        <w:t xml:space="preserve">in the normalised coordinate space and must satisfy</w:t>
      </w:r>
      <w:r>
        <w:t xml:space="preserve"> </w:t>
      </w:r>
      <w:r>
        <w:rPr>
          <w:rStyle w:val="VerbatimChar"/>
        </w:rPr>
        <w:t xml:space="preserve">r_out &gt; r_in</w:t>
      </w:r>
      <w:r>
        <w:t xml:space="preserve">. The interpretation of these</w:t>
      </w:r>
      <w:r>
        <w:t xml:space="preserve"> </w:t>
      </w:r>
      <w:r>
        <w:t xml:space="preserve">radii depends on</w:t>
      </w:r>
      <w:r>
        <w:t xml:space="preserve"> </w:t>
      </w:r>
      <w:r>
        <w:rPr>
          <w:rStyle w:val="VerbatimChar"/>
        </w:rPr>
        <w:t xml:space="preserve">preserve_aspect</w:t>
      </w:r>
      <w:r>
        <w:t xml:space="preserve">. With uniform scaling, a circle of radius</w:t>
      </w:r>
      <w:r>
        <w:t xml:space="preserve"> </w:t>
      </w:r>
      <m:oMath>
        <m:sSub>
          <m:e>
            <m:r>
              <m:t>r</m:t>
            </m:r>
          </m:e>
          <m:sub>
            <m:r>
              <m:rPr>
                <m:nor/>
                <m:sty m:val="p"/>
              </m:rPr>
              <m:t>in</m:t>
            </m:r>
          </m:sub>
        </m:sSub>
      </m:oMath>
      <w:r>
        <w:t xml:space="preserve"> </w:t>
      </w:r>
      <w:r>
        <w:t xml:space="preserve">in unit space corresponds to a circle of radius</w:t>
      </w:r>
      <w:r>
        <w:t xml:space="preserve"> </w:t>
      </w:r>
      <m:oMath>
        <m:sSub>
          <m:e>
            <m:r>
              <m:t>r</m:t>
            </m:r>
          </m:e>
          <m:sub>
            <m:r>
              <m:rPr>
                <m:nor/>
                <m:sty m:val="p"/>
              </m:rPr>
              <m:t>in</m:t>
            </m:r>
          </m:sub>
        </m:sSub>
        <m:r>
          <m:t> </m:t>
        </m:r>
        <m:r>
          <m:t>s</m:t>
        </m:r>
      </m:oMath>
      <w:r>
        <w:t xml:space="preserve"> </w:t>
      </w:r>
      <w:r>
        <w:t xml:space="preserve">in map units; with per-axis</w:t>
      </w:r>
      <w:r>
        <w:t xml:space="preserve"> </w:t>
      </w:r>
      <w:r>
        <w:t xml:space="preserve">scaling, the corresponding shape is an axis-aligned ellipse with semi-axes</w:t>
      </w:r>
      <w:r>
        <w:t xml:space="preserve"> </w:t>
      </w:r>
      <m:oMath>
        <m:sSub>
          <m:e>
            <m:r>
              <m:t>r</m:t>
            </m:r>
          </m:e>
          <m:sub>
            <m:r>
              <m:rPr>
                <m:nor/>
                <m:sty m:val="p"/>
              </m:rPr>
              <m:t>in</m:t>
            </m:r>
          </m:sub>
        </m:sSub>
        <m:sSub>
          <m:e>
            <m:r>
              <m:t>s</m:t>
            </m:r>
          </m:e>
          <m:sub>
            <m:r>
              <m:t>x</m:t>
            </m:r>
          </m:sub>
        </m:sSub>
      </m:oMath>
      <w:r>
        <w:t xml:space="preserve"> </w:t>
      </w:r>
      <w:r>
        <w:t xml:space="preserve">and</w:t>
      </w:r>
      <w:r>
        <w:t xml:space="preserve"> </w:t>
      </w:r>
      <m:oMath>
        <m:sSub>
          <m:e>
            <m:r>
              <m:t>r</m:t>
            </m:r>
          </m:e>
          <m:sub>
            <m:r>
              <m:rPr>
                <m:nor/>
                <m:sty m:val="p"/>
              </m:rPr>
              <m:t>in</m:t>
            </m:r>
          </m:sub>
        </m:sSub>
        <m:sSub>
          <m:e>
            <m:r>
              <m:t>s</m:t>
            </m:r>
          </m:e>
          <m:sub>
            <m:r>
              <m:t>y</m:t>
            </m:r>
          </m:sub>
        </m:sSub>
      </m:oMath>
      <w:r>
        <w:t xml:space="preserve">. Inside the focus, distances from the centre are multiplied by</w:t>
      </w:r>
      <w:r>
        <w:t xml:space="preserve"> </w:t>
      </w:r>
      <w:r>
        <w:rPr>
          <w:rStyle w:val="VerbatimChar"/>
        </w:rPr>
        <w:t xml:space="preserve">zoom_factor</w:t>
      </w:r>
      <w:r>
        <w:t xml:space="preserve">; to prevent overshoot, the implementation clamps</w:t>
      </w:r>
      <w:r>
        <w:t xml:space="preserve"> </w:t>
      </w:r>
      <m:oMath>
        <m:r>
          <m:t>r</m:t>
        </m:r>
        <m:r>
          <m:rPr>
            <m:sty m:val="p"/>
          </m:rPr>
          <m:t>′</m:t>
        </m:r>
      </m:oMath>
      <w:r>
        <w:t xml:space="preserve"> </w:t>
      </w:r>
      <w:r>
        <w:t xml:space="preserve">so that points do not cross</w:t>
      </w:r>
      <w:r>
        <w:t xml:space="preserve"> </w:t>
      </w:r>
      <w:r>
        <w:t xml:space="preserve">the</w:t>
      </w:r>
      <w:r>
        <w:t xml:space="preserve"> </w:t>
      </w:r>
      <m:oMath>
        <m:sSub>
          <m:e>
            <m:r>
              <m:t>r</m:t>
            </m:r>
          </m:e>
          <m:sub>
            <m:r>
              <m:rPr>
                <m:nor/>
                <m:sty m:val="p"/>
              </m:rPr>
              <m:t>in</m:t>
            </m:r>
          </m:sub>
        </m:sSub>
      </m:oMath>
      <w:r>
        <w:t xml:space="preserve"> </w:t>
      </w:r>
      <w:r>
        <w:t xml:space="preserve">boundary. Across the glue,</w:t>
      </w:r>
      <w:r>
        <w:t xml:space="preserve"> </w:t>
      </w:r>
      <w:r>
        <w:rPr>
          <w:rStyle w:val="VerbatimChar"/>
        </w:rPr>
        <w:t xml:space="preserve">squeeze_factor \in (0,1]</w:t>
      </w:r>
      <w:r>
        <w:t xml:space="preserve"> </w:t>
      </w:r>
      <w:r>
        <w:t xml:space="preserve">controls how strongly</w:t>
      </w:r>
      <w:r>
        <w:t xml:space="preserve"> </w:t>
      </w:r>
      <w:r>
        <w:t xml:space="preserve">intermediate radii compress: smaller values create tighter compression near the boundaries and a</w:t>
      </w:r>
      <w:r>
        <w:t xml:space="preserve"> </w:t>
      </w:r>
      <w:r>
        <w:t xml:space="preserve">more pronounced</w:t>
      </w:r>
      <w:r>
        <w:t xml:space="preserve"> </w:t>
      </w:r>
      <w:r>
        <w:t xml:space="preserve">“shoulder”</w:t>
      </w:r>
      <w:r>
        <w:t xml:space="preserve"> </w:t>
      </w:r>
      <w:r>
        <w:t xml:space="preserve">in the middle of the glue; larger values approach a linear transition. The</w:t>
      </w:r>
      <w:r>
        <w:t xml:space="preserve"> </w:t>
      </w:r>
      <w:r>
        <w:rPr>
          <w:rStyle w:val="VerbatimChar"/>
        </w:rPr>
        <w:t xml:space="preserve">method</w:t>
      </w:r>
      <w:r>
        <w:t xml:space="preserve"> </w:t>
      </w:r>
      <w:r>
        <w:t xml:space="preserve">selects the family of curves used in the glue. The default</w:t>
      </w:r>
      <w:r>
        <w:t xml:space="preserve"> </w:t>
      </w:r>
      <w:r>
        <w:rPr>
          <w:rStyle w:val="VerbatimChar"/>
        </w:rPr>
        <w:t xml:space="preserve">"expand"</w:t>
      </w:r>
      <w:r>
        <w:t xml:space="preserve"> </w:t>
      </w:r>
      <w:r>
        <w:t xml:space="preserve">applies a</w:t>
      </w:r>
      <w:r>
        <w:t xml:space="preserve"> </w:t>
      </w:r>
      <w:r>
        <w:t xml:space="preserve">symmetrical power law that expands inward and outward halves of the glue to maintain visual balance</w:t>
      </w:r>
      <w:r>
        <w:t xml:space="preserve"> </w:t>
      </w:r>
      <w:r>
        <w:t xml:space="preserve">around the midpoint;</w:t>
      </w:r>
      <w:r>
        <w:t xml:space="preserve"> </w:t>
      </w:r>
      <w:r>
        <w:rPr>
          <w:rStyle w:val="VerbatimChar"/>
        </w:rPr>
        <w:t xml:space="preserve">"outward"</w:t>
      </w:r>
      <w:r>
        <w:t xml:space="preserve"> </w:t>
      </w:r>
      <w:r>
        <w:t xml:space="preserve">biases the map towards</w:t>
      </w:r>
      <w:r>
        <w:t xml:space="preserve"> </w:t>
      </w:r>
      <m:oMath>
        <m:sSub>
          <m:e>
            <m:r>
              <m:t>r</m:t>
            </m:r>
          </m:e>
          <m:sub>
            <m:r>
              <m:rPr>
                <m:nor/>
                <m:sty m:val="p"/>
              </m:rPr>
              <m:t>out</m:t>
            </m:r>
          </m:sub>
        </m:sSub>
      </m:oMath>
      <w:r>
        <w:t xml:space="preserve">, keeping the outer</w:t>
      </w:r>
      <w:r>
        <w:t xml:space="preserve"> </w:t>
      </w:r>
      <w:r>
        <w:t xml:space="preserve">boundary steadier and pushing more deformation into the inner portion of the glue. The optional</w:t>
      </w:r>
      <w:r>
        <w:t xml:space="preserve"> </w:t>
      </w:r>
      <w:r>
        <w:rPr>
          <w:rStyle w:val="VerbatimChar"/>
        </w:rPr>
        <w:t xml:space="preserve">revolution</w:t>
      </w:r>
      <w:r>
        <w:t xml:space="preserve"> </w:t>
      </w:r>
      <w:r>
        <w:t xml:space="preserve">parameter adds a bell-shaped angular twist inside the glue of magnitude</w:t>
      </w:r>
      <w:r>
        <w:t xml:space="preserve"> </w:t>
      </w:r>
      <m:oMath>
        <m:r>
          <m:t>ρ</m:t>
        </m:r>
        <m:r>
          <m:t> </m:t>
        </m:r>
        <m:r>
          <m:t>4</m:t>
        </m:r>
        <m:r>
          <m:t>u</m:t>
        </m:r>
        <m:d>
          <m:dPr>
            <m:begChr m:val="("/>
            <m:sepChr m:val=""/>
            <m:endChr m:val=")"/>
            <m:grow/>
          </m:dPr>
          <m:e>
            <m:r>
              <m:t>1</m:t>
            </m:r>
            <m:r>
              <m:rPr>
                <m:sty m:val="p"/>
              </m:rPr>
              <m:t>−</m:t>
            </m:r>
            <m:r>
              <m:t>u</m:t>
            </m:r>
          </m:e>
        </m:d>
      </m:oMath>
      <w:r>
        <w:t xml:space="preserve">, where</w:t>
      </w:r>
      <w:r>
        <w:t xml:space="preserve"> </w:t>
      </w:r>
      <m:oMath>
        <m:r>
          <m:t>u</m:t>
        </m:r>
      </m:oMath>
      <w:r>
        <w:t xml:space="preserve"> </w:t>
      </w:r>
      <w:r>
        <w:t xml:space="preserve">is the normalised glue radius. This rotation vanishes at both glue</w:t>
      </w:r>
      <w:r>
        <w:t xml:space="preserve"> </w:t>
      </w:r>
      <w:r>
        <w:t xml:space="preserve">boundaries and peaks at the midpoint, preserving continuity. Positive values rotate</w:t>
      </w:r>
      <w:r>
        <w:t xml:space="preserve"> </w:t>
      </w:r>
      <w:r>
        <w:t xml:space="preserve">counter-clockwise, negative values clockwise; values are specified in radians.</w:t>
      </w:r>
    </w:p>
    <w:p>
      <w:pPr>
        <w:pStyle w:val="BodyText"/>
      </w:pPr>
      <w:r>
        <w:rPr>
          <w:b/>
          <w:bCs/>
        </w:rPr>
        <w:t xml:space="preserve">Inter-parameter interactions and invariants.</w:t>
      </w:r>
      <w:r>
        <w:t xml:space="preserve"> </w:t>
      </w:r>
      <w:r>
        <w:t xml:space="preserve">The following constraints and behaviours are</w:t>
      </w:r>
      <w:r>
        <w:t xml:space="preserve"> </w:t>
      </w:r>
      <w:r>
        <w:t xml:space="preserve">enforced:</w:t>
      </w:r>
      <w:r>
        <w:t xml:space="preserve"> </w:t>
      </w:r>
      <m:oMath>
        <m:sSub>
          <m:e>
            <m:r>
              <m:t>r</m:t>
            </m:r>
          </m:e>
          <m:sub>
            <m:r>
              <m:rPr>
                <m:nor/>
                <m:sty m:val="p"/>
              </m:rPr>
              <m:t>out</m:t>
            </m:r>
          </m:sub>
        </m:sSub>
        <m:r>
          <m:rPr>
            <m:sty m:val="p"/>
          </m:rPr>
          <m:t>&gt;</m:t>
        </m:r>
        <m:sSub>
          <m:e>
            <m:r>
              <m:t>r</m:t>
            </m:r>
          </m:e>
          <m:sub>
            <m:r>
              <m:rPr>
                <m:nor/>
                <m:sty m:val="p"/>
              </m:rPr>
              <m:t>in</m:t>
            </m:r>
          </m:sub>
        </m:sSub>
        <m:r>
          <m:rPr>
            <m:sty m:val="p"/>
          </m:rPr>
          <m:t>&gt;</m:t>
        </m:r>
        <m:r>
          <m:t>0</m:t>
        </m:r>
      </m:oMath>
      <w:r>
        <w:t xml:space="preserve">;</w:t>
      </w:r>
      <w:r>
        <w:t xml:space="preserve"> </w:t>
      </w:r>
      <w:r>
        <w:rPr>
          <w:rStyle w:val="VerbatimChar"/>
        </w:rPr>
        <w:t xml:space="preserve">zoom_factor</w:t>
      </w:r>
      <w:r>
        <w:t xml:space="preserve"> </w:t>
      </w:r>
      <m:oMath>
        <m:r>
          <m:rPr>
            <m:sty m:val="p"/>
          </m:rPr>
          <m:t>≥</m:t>
        </m:r>
        <m:r>
          <m:t>1</m:t>
        </m:r>
      </m:oMath>
      <w:r>
        <w:t xml:space="preserve"> </w:t>
      </w:r>
      <w:r>
        <w:t xml:space="preserve">(values close to one</w:t>
      </w:r>
      <w:r>
        <w:t xml:space="preserve"> </w:t>
      </w:r>
      <w:r>
        <w:t xml:space="preserve">yield gentle focus);</w:t>
      </w:r>
      <w:r>
        <w:t xml:space="preserve"> </w:t>
      </w:r>
      <w:r>
        <w:rPr>
          <w:rStyle w:val="VerbatimChar"/>
        </w:rPr>
        <w:t xml:space="preserve">squeeze_factor</w:t>
      </w:r>
      <w:r>
        <w:t xml:space="preserve"> </w:t>
      </w:r>
      <w:r>
        <w:t xml:space="preserve">in</w:t>
      </w:r>
      <w:r>
        <w:t xml:space="preserve"> </w:t>
      </w:r>
      <m:oMath>
        <m:r>
          <m:rPr>
            <m:sty m:val="p"/>
          </m:rPr>
          <m:t>(</m:t>
        </m:r>
        <m:r>
          <m:t>0</m:t>
        </m:r>
        <m:r>
          <m:rPr>
            <m:sty m:val="p"/>
          </m:rPr>
          <m:t>,</m:t>
        </m:r>
        <m:r>
          <m:t>1</m:t>
        </m:r>
        <m:r>
          <m:rPr>
            <m:sty m:val="p"/>
          </m:rPr>
          <m:t>]</m:t>
        </m:r>
      </m:oMath>
      <w:r>
        <w:t xml:space="preserve"> </w:t>
      </w:r>
      <w:r>
        <w:t xml:space="preserve">(</w:t>
      </w:r>
      <m:oMath>
        <m:r>
          <m:rPr>
            <m:sty m:val="p"/>
          </m:rPr>
          <m:t>=</m:t>
        </m:r>
        <m:r>
          <m:t>1</m:t>
        </m:r>
      </m:oMath>
      <w:r>
        <w:t xml:space="preserve"> </w:t>
      </w:r>
      <w:r>
        <w:t xml:space="preserve">approaches linear); and monotonicity of</w:t>
      </w:r>
      <w:r>
        <w:t xml:space="preserve"> </w:t>
      </w:r>
      <w:r>
        <w:t xml:space="preserve">the radial map so that ordering by distance from the centre is preserved. The choice of</w:t>
      </w:r>
      <w:r>
        <w:t xml:space="preserve"> </w:t>
      </w:r>
      <w:r>
        <w:rPr>
          <w:rStyle w:val="VerbatimChar"/>
        </w:rPr>
        <w:t xml:space="preserve">preserve_aspect</w:t>
      </w:r>
      <w:r>
        <w:t xml:space="preserve"> </w:t>
      </w:r>
      <w:r>
        <w:t xml:space="preserve">affects the physical size of radii and thereby the impact of a given parameter</w:t>
      </w:r>
      <w:r>
        <w:t xml:space="preserve"> </w:t>
      </w:r>
      <w:r>
        <w:t xml:space="preserve">set on different datasets; using uniform scaling with a normalised centre yields the most portable</w:t>
      </w:r>
      <w:r>
        <w:t xml:space="preserve"> </w:t>
      </w:r>
      <w:r>
        <w:t xml:space="preserve">configurations. Twisting via</w:t>
      </w:r>
      <w:r>
        <w:t xml:space="preserve"> </w:t>
      </w:r>
      <w:r>
        <w:rPr>
          <w:rStyle w:val="VerbatimChar"/>
        </w:rPr>
        <w:t xml:space="preserve">revolution</w:t>
      </w:r>
      <w:r>
        <w:t xml:space="preserve"> </w:t>
      </w:r>
      <w:r>
        <w:t xml:space="preserve">is confined to the glue; it does not change radii and</w:t>
      </w:r>
      <w:r>
        <w:t xml:space="preserve"> </w:t>
      </w:r>
      <w:r>
        <w:t xml:space="preserve">therefore does not affect the classification of points into zones. Because angles are modified only</w:t>
      </w:r>
      <w:r>
        <w:t xml:space="preserve"> </w:t>
      </w:r>
      <w:r>
        <w:t xml:space="preserve">in the glue, bearings inside the focus and in the context are preserved.</w:t>
      </w:r>
    </w:p>
    <w:p>
      <w:pPr>
        <w:pStyle w:val="BodyText"/>
      </w:pPr>
      <w:r>
        <w:rPr>
          <w:b/>
          <w:bCs/>
        </w:rPr>
        <w:t xml:space="preserve">Return value and side effects.</w:t>
      </w:r>
      <w:r>
        <w:t xml:space="preserve"> </w:t>
      </w:r>
      <w:r>
        <w:t xml:space="preserve">The function returns an object of the same top-level class as</w:t>
      </w:r>
      <w:r>
        <w:t xml:space="preserve"> </w:t>
      </w:r>
      <w:r>
        <w:t xml:space="preserve">its input (</w:t>
      </w:r>
      <w:r>
        <w:rPr>
          <w:rStyle w:val="VerbatimChar"/>
        </w:rPr>
        <w:t xml:space="preserve">sf</w:t>
      </w:r>
      <w:r>
        <w:t xml:space="preserve"> </w:t>
      </w:r>
      <w:r>
        <w:t xml:space="preserve">or</w:t>
      </w:r>
      <w:r>
        <w:t xml:space="preserve"> </w:t>
      </w:r>
      <w:r>
        <w:rPr>
          <w:rStyle w:val="VerbatimChar"/>
        </w:rPr>
        <w:t xml:space="preserve">sfc</w:t>
      </w:r>
      <w:r>
        <w:t xml:space="preserve">). For</w:t>
      </w:r>
      <w:r>
        <w:t xml:space="preserve"> </w:t>
      </w:r>
      <w:r>
        <w:rPr>
          <w:rStyle w:val="VerbatimChar"/>
        </w:rPr>
        <w:t xml:space="preserve">sf</w:t>
      </w:r>
      <w:r>
        <w:t xml:space="preserve"> </w:t>
      </w:r>
      <w:r>
        <w:t xml:space="preserve">inputs, non-geometry columns are preserved</w:t>
      </w:r>
      <w:r>
        <w:t xml:space="preserve"> </w:t>
      </w:r>
      <w:r>
        <w:t xml:space="preserve">verbatim; only the geometry column is replaced. The original CRS is restored before return so that</w:t>
      </w:r>
      <w:r>
        <w:t xml:space="preserve"> </w:t>
      </w:r>
      <w:r>
        <w:t xml:space="preserve">downstream plotting and analysis code does not need to change. On malformed geometries, the</w:t>
      </w:r>
      <w:r>
        <w:t xml:space="preserve"> </w:t>
      </w:r>
      <w:r>
        <w:t xml:space="preserve">implementation emits a warning and returns an empty geometry of the appropriate family to preserve</w:t>
      </w:r>
      <w:r>
        <w:t xml:space="preserve"> </w:t>
      </w:r>
      <w:r>
        <w:t xml:space="preserve">row count and indices. For exploratory diagnostics, the low-level</w:t>
      </w:r>
      <w:r>
        <w:t xml:space="preserve"> </w:t>
      </w:r>
      <w:r>
        <w:rPr>
          <w:rStyle w:val="VerbatimChar"/>
        </w:rPr>
        <w:t xml:space="preserve">fisheye_fgc()</w:t>
      </w:r>
      <w:r>
        <w:t xml:space="preserve"> </w:t>
      </w:r>
      <w:r>
        <w:t xml:space="preserve">returns a</w:t>
      </w:r>
      <w:r>
        <w:t xml:space="preserve"> </w:t>
      </w:r>
      <w:r>
        <w:t xml:space="preserve">coordinate matrix with attributes</w:t>
      </w:r>
      <w:r>
        <w:t xml:space="preserve"> </w:t>
      </w:r>
      <w:r>
        <w:rPr>
          <w:rStyle w:val="VerbatimChar"/>
        </w:rPr>
        <w:t xml:space="preserve">"zones"</w:t>
      </w:r>
      <w:r>
        <w:t xml:space="preserve">,</w:t>
      </w:r>
      <w:r>
        <w:t xml:space="preserve"> </w:t>
      </w:r>
      <w:r>
        <w:rPr>
          <w:rStyle w:val="VerbatimChar"/>
        </w:rPr>
        <w:t xml:space="preserve">"original_radius"</w:t>
      </w:r>
      <w:r>
        <w:t xml:space="preserve">, and</w:t>
      </w:r>
      <w:r>
        <w:t xml:space="preserve"> </w:t>
      </w:r>
      <w:r>
        <w:rPr>
          <w:rStyle w:val="VerbatimChar"/>
        </w:rPr>
        <w:t xml:space="preserve">"new_radius"</w:t>
      </w:r>
      <w:r>
        <w:t xml:space="preserve">;</w:t>
      </w:r>
      <w:r>
        <w:t xml:space="preserve"> </w:t>
      </w:r>
      <w:r>
        <w:t xml:space="preserve">these can be used to plot scale curves and verify parameter effects prior to applying the transform</w:t>
      </w:r>
      <w:r>
        <w:t xml:space="preserve"> </w:t>
      </w:r>
      <w:r>
        <w:t xml:space="preserve">to complex geometries.</w:t>
      </w:r>
    </w:p>
    <w:bookmarkEnd w:id="40"/>
    <w:bookmarkStart w:id="41" w:name="common-choices"/>
    <w:p>
      <w:pPr>
        <w:pStyle w:val="Heading2"/>
      </w:pPr>
      <w:r>
        <w:t xml:space="preserve">Common choices</w:t>
      </w:r>
    </w:p>
    <w:p>
      <w:pPr>
        <w:pStyle w:val="FirstParagraph"/>
      </w:pPr>
      <w:r>
        <w:t xml:space="preserve">Although the parameter space is continuous, certain regimes recur in practice and can serve as</w:t>
      </w:r>
      <w:r>
        <w:t xml:space="preserve"> </w:t>
      </w:r>
      <w:r>
        <w:t xml:space="preserve">reliable starting points. We describe these regimes and articulate the trade-offs that motivate each</w:t>
      </w:r>
      <w:r>
        <w:t xml:space="preserve"> </w:t>
      </w:r>
      <w:r>
        <w:t xml:space="preserve">choice. The recommendations assume the default</w:t>
      </w:r>
      <w:r>
        <w:t xml:space="preserve"> </w:t>
      </w:r>
      <w:r>
        <w:rPr>
          <w:rStyle w:val="VerbatimChar"/>
        </w:rPr>
        <w:t xml:space="preserve">preserve_aspect = TRUE</w:t>
      </w:r>
      <w:r>
        <w:t xml:space="preserve">; when per-axis scaling is</w:t>
      </w:r>
      <w:r>
        <w:t xml:space="preserve"> </w:t>
      </w:r>
      <w:r>
        <w:t xml:space="preserve">enabled, translate radii to semi-axes using the bbox half-spans.</w:t>
      </w:r>
    </w:p>
    <w:p>
      <w:pPr>
        <w:pStyle w:val="BodyText"/>
      </w:pPr>
      <w:r>
        <w:rPr>
          <w:b/>
          <w:bCs/>
        </w:rPr>
        <w:t xml:space="preserve">Balanced metropolitan focus within a state.</w:t>
      </w:r>
      <w:r>
        <w:t xml:space="preserve"> </w:t>
      </w:r>
      <w:r>
        <w:t xml:space="preserve">A common narrative emphasises a city region while</w:t>
      </w:r>
      <w:r>
        <w:t xml:space="preserve"> </w:t>
      </w:r>
      <w:r>
        <w:t xml:space="preserve">retaining a recognisable state outline. Choose</w:t>
      </w:r>
      <w:r>
        <w:t xml:space="preserve"> </w:t>
      </w:r>
      <m:oMath>
        <m:sSub>
          <m:e>
            <m:r>
              <m:t>r</m:t>
            </m:r>
          </m:e>
          <m:sub>
            <m:r>
              <m:rPr>
                <m:nor/>
                <m:sty m:val="p"/>
              </m:rPr>
              <m:t>in</m:t>
            </m:r>
          </m:sub>
        </m:sSub>
      </m:oMath>
      <w:r>
        <w:t xml:space="preserve"> </w:t>
      </w:r>
      <w:r>
        <w:t xml:space="preserve">to enclose the urban footprint (often</w:t>
      </w:r>
      <w:r>
        <w:t xml:space="preserve"> </w:t>
      </w:r>
      <m:oMath>
        <m:r>
          <m:t>0.30</m:t>
        </m:r>
        <m:r>
          <m:rPr>
            <m:nor/>
            <m:sty m:val="p"/>
          </m:rPr>
          <m:t>–</m:t>
        </m:r>
        <m:r>
          <m:t>0.35</m:t>
        </m:r>
      </m:oMath>
      <w:r>
        <w:t xml:space="preserve">) and</w:t>
      </w:r>
      <w:r>
        <w:t xml:space="preserve"> </w:t>
      </w:r>
      <m:oMath>
        <m:sSub>
          <m:e>
            <m:r>
              <m:t>r</m:t>
            </m:r>
          </m:e>
          <m:sub>
            <m:r>
              <m:rPr>
                <m:nor/>
                <m:sty m:val="p"/>
              </m:rPr>
              <m:t>out</m:t>
            </m:r>
          </m:sub>
        </m:sSub>
      </m:oMath>
      <w:r>
        <w:t xml:space="preserve"> </w:t>
      </w:r>
      <w:r>
        <w:t xml:space="preserve">to provide a broad glue buffer</w:t>
      </w:r>
      <w:r>
        <w:t xml:space="preserve"> </w:t>
      </w:r>
      <w:r>
        <w:t xml:space="preserve">(</w:t>
      </w:r>
      <m:oMath>
        <m:r>
          <m:t>0.55</m:t>
        </m:r>
        <m:r>
          <m:rPr>
            <m:nor/>
            <m:sty m:val="p"/>
          </m:rPr>
          <m:t>–</m:t>
        </m:r>
        <m:r>
          <m:t>0.70</m:t>
        </m:r>
      </m:oMath>
      <w:r>
        <w:t xml:space="preserve">). A</w:t>
      </w:r>
      <w:r>
        <w:t xml:space="preserve"> </w:t>
      </w:r>
      <w:r>
        <w:rPr>
          <w:rStyle w:val="VerbatimChar"/>
        </w:rPr>
        <w:t xml:space="preserve">zoom_factor</w:t>
      </w:r>
      <w:r>
        <w:t xml:space="preserve"> </w:t>
      </w:r>
      <w:r>
        <w:t xml:space="preserve">of</w:t>
      </w:r>
      <w:r>
        <w:t xml:space="preserve"> </w:t>
      </w:r>
      <m:oMath>
        <m:r>
          <m:t>1.5</m:t>
        </m:r>
        <m:r>
          <m:rPr>
            <m:nor/>
            <m:sty m:val="p"/>
          </m:rPr>
          <m:t>–</m:t>
        </m:r>
        <m:r>
          <m:t>2.0</m:t>
        </m:r>
      </m:oMath>
      <w:r>
        <w:t xml:space="preserve"> </w:t>
      </w:r>
      <w:r>
        <w:t xml:space="preserve">provides visible enlargement</w:t>
      </w:r>
      <w:r>
        <w:t xml:space="preserve"> </w:t>
      </w:r>
      <w:r>
        <w:t xml:space="preserve">without overwhelming the transition. Pair this with</w:t>
      </w:r>
      <w:r>
        <w:t xml:space="preserve"> </w:t>
      </w:r>
      <w:r>
        <w:rPr>
          <w:rStyle w:val="VerbatimChar"/>
        </w:rPr>
        <w:t xml:space="preserve">squeeze_factor = 0.25\text{--</w:t>
      </w:r>
      <w:r>
        <w:t xml:space="preserve">0.40}, which</w:t>
      </w:r>
      <w:r>
        <w:t xml:space="preserve"> </w:t>
      </w:r>
      <w:r>
        <w:t xml:space="preserve">gently compresses surroundings while maintaining smoothness. The</w:t>
      </w:r>
      <w:r>
        <w:t xml:space="preserve"> </w:t>
      </w:r>
      <w:r>
        <w:rPr>
          <w:rStyle w:val="VerbatimChar"/>
        </w:rPr>
        <w:t xml:space="preserve">"expand"</w:t>
      </w:r>
      <w:r>
        <w:t xml:space="preserve"> </w:t>
      </w:r>
      <w:r>
        <w:t xml:space="preserve">method yields a</w:t>
      </w:r>
      <w:r>
        <w:t xml:space="preserve"> </w:t>
      </w:r>
      <w:r>
        <w:t xml:space="preserve">balanced appearance in which the mid-glue region visibly bridges detail and context. If preserving the</w:t>
      </w:r>
      <w:r>
        <w:t xml:space="preserve"> </w:t>
      </w:r>
      <w:r>
        <w:t xml:space="preserve">outer coastline or boundary is paramount (e.g., for policy maps where the edge must remain stable),</w:t>
      </w:r>
      <w:r>
        <w:t xml:space="preserve"> </w:t>
      </w:r>
      <w:r>
        <w:rPr>
          <w:rStyle w:val="VerbatimChar"/>
        </w:rPr>
        <w:t xml:space="preserve">"outward"</w:t>
      </w:r>
      <w:r>
        <w:t xml:space="preserve"> </w:t>
      </w:r>
      <w:r>
        <w:t xml:space="preserve">can be substituted to reduce outer drift at the cost of slightly stronger inner</w:t>
      </w:r>
      <w:r>
        <w:t xml:space="preserve"> </w:t>
      </w:r>
      <w:r>
        <w:t xml:space="preserve">squeeze.</w:t>
      </w:r>
    </w:p>
    <w:p>
      <w:pPr>
        <w:pStyle w:val="BodyText"/>
      </w:pPr>
      <w:r>
        <w:rPr>
          <w:b/>
          <w:bCs/>
        </w:rPr>
        <w:t xml:space="preserve">Dense line networks and flows.</w:t>
      </w:r>
      <w:r>
        <w:t xml:space="preserve"> </w:t>
      </w:r>
      <w:r>
        <w:t xml:space="preserve">When the layer of interest is line-heavy (transport corridors,</w:t>
      </w:r>
      <w:r>
        <w:t xml:space="preserve"> </w:t>
      </w:r>
      <w:r>
        <w:t xml:space="preserve">flows, hydrology), kink introduction and overplotting are the primary risks. Reduce glue compression</w:t>
      </w:r>
      <w:r>
        <w:t xml:space="preserve"> </w:t>
      </w:r>
      <w:r>
        <w:t xml:space="preserve">and avoid large twists:</w:t>
      </w:r>
      <w:r>
        <w:t xml:space="preserve"> </w:t>
      </w:r>
      <w:r>
        <w:rPr>
          <w:rStyle w:val="VerbatimChar"/>
        </w:rPr>
        <w:t xml:space="preserve">squeeze_factor \ge 0.35</w:t>
      </w:r>
      <w:r>
        <w:t xml:space="preserve"> </w:t>
      </w:r>
      <w:r>
        <w:t xml:space="preserve">(ideally</w:t>
      </w:r>
      <w:r>
        <w:t xml:space="preserve"> </w:t>
      </w:r>
      <m:oMath>
        <m:r>
          <m:t>0.40</m:t>
        </m:r>
        <m:r>
          <m:rPr>
            <m:nor/>
            <m:sty m:val="p"/>
          </m:rPr>
          <m:t>–</m:t>
        </m:r>
        <m:r>
          <m:t>0.60</m:t>
        </m:r>
      </m:oMath>
      <w:r>
        <w:t xml:space="preserve">) coupled with</w:t>
      </w:r>
      <w:r>
        <w:t xml:space="preserve"> </w:t>
      </w:r>
      <w:r>
        <w:rPr>
          <w:rStyle w:val="VerbatimChar"/>
        </w:rPr>
        <w:t xml:space="preserve">revolution \le 0.2</w:t>
      </w:r>
      <w:r>
        <w:t xml:space="preserve"> </w:t>
      </w:r>
      <w:r>
        <w:t xml:space="preserve">radians keeps linework legible while still communicating focus. The</w:t>
      </w:r>
      <w:r>
        <w:t xml:space="preserve"> </w:t>
      </w:r>
      <w:r>
        <w:rPr>
          <w:rStyle w:val="VerbatimChar"/>
        </w:rPr>
        <w:t xml:space="preserve">"expand"</w:t>
      </w:r>
      <w:r>
        <w:t xml:space="preserve"> </w:t>
      </w:r>
      <w:r>
        <w:t xml:space="preserve">method is generally preferable because its symmetric treatment of the glue reduces</w:t>
      </w:r>
      <w:r>
        <w:t xml:space="preserve"> </w:t>
      </w:r>
      <w:r>
        <w:t xml:space="preserve">inflections near</w:t>
      </w:r>
      <w:r>
        <w:t xml:space="preserve"> </w:t>
      </w:r>
      <m:oMath>
        <m:sSub>
          <m:e>
            <m:r>
              <m:t>r</m:t>
            </m:r>
          </m:e>
          <m:sub>
            <m:r>
              <m:rPr>
                <m:nor/>
                <m:sty m:val="p"/>
              </m:rPr>
              <m:t>in</m:t>
            </m:r>
          </m:sub>
        </m:sSub>
      </m:oMath>
      <w:r>
        <w:t xml:space="preserve"> </w:t>
      </w:r>
      <w:r>
        <w:t xml:space="preserve">and</w:t>
      </w:r>
      <w:r>
        <w:t xml:space="preserve"> </w:t>
      </w:r>
      <m:oMath>
        <m:sSub>
          <m:e>
            <m:r>
              <m:t>r</m:t>
            </m:r>
          </m:e>
          <m:sub>
            <m:r>
              <m:rPr>
                <m:nor/>
                <m:sty m:val="p"/>
              </m:rPr>
              <m:t>out</m:t>
            </m:r>
          </m:sub>
        </m:sSub>
      </m:oMath>
      <w:r>
        <w:t xml:space="preserve">. When in doubt, plot a radius-vs-radius</w:t>
      </w:r>
      <w:r>
        <w:t xml:space="preserve"> </w:t>
      </w:r>
      <w:r>
        <w:t xml:space="preserve">diagnostic from</w:t>
      </w:r>
      <w:r>
        <w:t xml:space="preserve"> </w:t>
      </w:r>
      <w:r>
        <w:rPr>
          <w:rStyle w:val="VerbatimChar"/>
        </w:rPr>
        <w:t xml:space="preserve">fisheye_fgc()</w:t>
      </w:r>
      <w:r>
        <w:t xml:space="preserve"> </w:t>
      </w:r>
      <w:r>
        <w:t xml:space="preserve">to confirm that the derivative remains near one at boundaries.</w:t>
      </w:r>
    </w:p>
    <w:p>
      <w:pPr>
        <w:pStyle w:val="BodyText"/>
      </w:pPr>
      <w:r>
        <w:rPr>
          <w:b/>
          <w:bCs/>
        </w:rPr>
        <w:t xml:space="preserve">Polygon-dominated maps and choropleths.</w:t>
      </w:r>
      <w:r>
        <w:t xml:space="preserve"> </w:t>
      </w:r>
      <w:r>
        <w:t xml:space="preserve">For administrative regions, land-use parcels, or other</w:t>
      </w:r>
      <w:r>
        <w:t xml:space="preserve"> </w:t>
      </w:r>
      <w:r>
        <w:t xml:space="preserve">polygon-dense layers, slightly stronger compression in the glue is tolerable because viewers rely on</w:t>
      </w:r>
      <w:r>
        <w:t xml:space="preserve"> </w:t>
      </w:r>
      <w:r>
        <w:t xml:space="preserve">silhouette and adjacency rather than precise edge angles. Settings such as</w:t>
      </w:r>
      <w:r>
        <w:t xml:space="preserve"> </w:t>
      </w:r>
      <w:r>
        <w:rPr>
          <w:rStyle w:val="VerbatimChar"/>
        </w:rPr>
        <w:t xml:space="preserve">{squeeze_factor = 0.25\text{ - }0.40}</w:t>
      </w:r>
      <w:r>
        <w:t xml:space="preserve"> </w:t>
      </w:r>
      <w:r>
        <w:t xml:space="preserve">with</w:t>
      </w:r>
      <w:r>
        <w:t xml:space="preserve"> </w:t>
      </w:r>
      <w:r>
        <w:rPr>
          <w:rStyle w:val="VerbatimChar"/>
        </w:rPr>
        <w:t xml:space="preserve">zoom_factor = 1.6\text{ - }2.2}</w:t>
      </w:r>
      <w:r>
        <w:t xml:space="preserve"> </w:t>
      </w:r>
      <w:r>
        <w:t xml:space="preserve">and either</w:t>
      </w:r>
      <w:r>
        <w:t xml:space="preserve"> </w:t>
      </w:r>
      <w:r>
        <w:rPr>
          <w:rStyle w:val="VerbatimChar"/>
        </w:rPr>
        <w:t xml:space="preserve">"expand"</w:t>
      </w:r>
      <w:r>
        <w:t xml:space="preserve"> </w:t>
      </w:r>
      <w:r>
        <w:t xml:space="preserve">or</w:t>
      </w:r>
      <w:r>
        <w:t xml:space="preserve"> </w:t>
      </w:r>
      <w:r>
        <w:rPr>
          <w:rStyle w:val="VerbatimChar"/>
        </w:rPr>
        <w:t xml:space="preserve">"outward"</w:t>
      </w:r>
      <w:r>
        <w:t xml:space="preserve"> </w:t>
      </w:r>
      <w:r>
        <w:t xml:space="preserve">often work well. We recommend</w:t>
      </w:r>
      <w:r>
        <w:t xml:space="preserve"> </w:t>
      </w:r>
      <w:r>
        <w:rPr>
          <w:rStyle w:val="VerbatimChar"/>
        </w:rPr>
        <w:t xml:space="preserve">revolution = 0</w:t>
      </w:r>
      <w:r>
        <w:t xml:space="preserve"> </w:t>
      </w:r>
      <w:r>
        <w:t xml:space="preserve">for publication unless the swirl</w:t>
      </w:r>
      <w:r>
        <w:t xml:space="preserve"> </w:t>
      </w:r>
      <w:r>
        <w:t xml:space="preserve">is part of the intended rhetoric; twists, while visually engaging, can distract from choropleth</w:t>
      </w:r>
      <w:r>
        <w:t xml:space="preserve"> </w:t>
      </w:r>
      <w:r>
        <w:t xml:space="preserve">encoding and complicate legend interpretation.</w:t>
      </w:r>
    </w:p>
    <w:p>
      <w:pPr>
        <w:pStyle w:val="BodyText"/>
      </w:pPr>
      <w:r>
        <w:rPr>
          <w:b/>
          <w:bCs/>
        </w:rPr>
        <w:t xml:space="preserve">Small multiples and parameter sweeps.</w:t>
      </w:r>
      <w:r>
        <w:t xml:space="preserve"> </w:t>
      </w:r>
      <w:r>
        <w:t xml:space="preserve">Analysts frequently compare scenarios across maps (e.g.,</w:t>
      </w:r>
      <w:r>
        <w:t xml:space="preserve"> </w:t>
      </w:r>
      <w:r>
        <w:t xml:space="preserve">different thresholds or temporal slices). Portability of parameters is maximised by using a</w:t>
      </w:r>
      <w:r>
        <w:t xml:space="preserve"> </w:t>
      </w:r>
      <w:r>
        <w:t xml:space="preserve">normalised centre (</w:t>
      </w:r>
      <w:r>
        <w:rPr>
          <w:rStyle w:val="VerbatimChar"/>
        </w:rPr>
        <w:t xml:space="preserve">normalized_center = TRUE</w:t>
      </w:r>
      <w:r>
        <w:t xml:space="preserve">) with</w:t>
      </w:r>
      <w:r>
        <w:t xml:space="preserve"> </w:t>
      </w:r>
      <w:r>
        <w:rPr>
          <w:rStyle w:val="VerbatimChar"/>
        </w:rPr>
        <w:t xml:space="preserve">preserve_aspect = TRUE</w:t>
      </w:r>
      <w:r>
        <w:t xml:space="preserve">. This yields</w:t>
      </w:r>
      <w:r>
        <w:t xml:space="preserve"> </w:t>
      </w:r>
      <w:r>
        <w:t xml:space="preserve">consistent radii across datasets of different extent and makes small multiples directly comparable. A</w:t>
      </w:r>
      <w:r>
        <w:t xml:space="preserve"> </w:t>
      </w:r>
      <w:r>
        <w:t xml:space="preserve">pattern that works well is to fix</w:t>
      </w:r>
      <w:r>
        <w:t xml:space="preserve"> </w:t>
      </w:r>
      <m:oMath>
        <m:sSub>
          <m:e>
            <m:r>
              <m:t>r</m:t>
            </m:r>
          </m:e>
          <m:sub>
            <m:r>
              <m:rPr>
                <m:nor/>
                <m:sty m:val="p"/>
              </m:rPr>
              <m:t>in</m:t>
            </m:r>
          </m:sub>
        </m:sSub>
        <m:r>
          <m:rPr>
            <m:sty m:val="p"/>
          </m:rPr>
          <m:t>,</m:t>
        </m:r>
        <m:sSub>
          <m:e>
            <m:r>
              <m:t>r</m:t>
            </m:r>
          </m:e>
          <m:sub>
            <m:r>
              <m:rPr>
                <m:nor/>
                <m:sty m:val="p"/>
              </m:rPr>
              <m:t>out</m:t>
            </m:r>
          </m:sub>
        </m:sSub>
      </m:oMath>
      <w:r>
        <w:t xml:space="preserve"> </w:t>
      </w:r>
      <w:r>
        <w:t xml:space="preserve">and</w:t>
      </w:r>
      <w:r>
        <w:t xml:space="preserve"> </w:t>
      </w:r>
      <w:r>
        <w:rPr>
          <w:rStyle w:val="VerbatimChar"/>
        </w:rPr>
        <w:t xml:space="preserve">squeeze_factor</w:t>
      </w:r>
      <w:r>
        <w:t xml:space="preserve">, and vary</w:t>
      </w:r>
      <w:r>
        <w:t xml:space="preserve"> </w:t>
      </w:r>
      <w:r>
        <w:rPr>
          <w:rStyle w:val="VerbatimChar"/>
        </w:rPr>
        <w:t xml:space="preserve">zoom_factor</w:t>
      </w:r>
      <w:r>
        <w:t xml:space="preserve"> </w:t>
      </w:r>
      <w:r>
        <w:t xml:space="preserve">over a short range (e.g.,</w:t>
      </w:r>
      <w:r>
        <w:t xml:space="preserve"> </w:t>
      </w:r>
      <m:oMath>
        <m:r>
          <m:t>1.3</m:t>
        </m:r>
        <m:r>
          <m:rPr>
            <m:sty m:val="p"/>
          </m:rPr>
          <m:t>,</m:t>
        </m:r>
        <m:r>
          <m:t>1.6</m:t>
        </m:r>
        <m:r>
          <m:rPr>
            <m:sty m:val="p"/>
          </m:rPr>
          <m:t>,</m:t>
        </m:r>
        <m:r>
          <m:t>2.0</m:t>
        </m:r>
      </m:oMath>
      <w:r>
        <w:t xml:space="preserve">). Faceting these outputs produces a</w:t>
      </w:r>
      <w:r>
        <w:t xml:space="preserve"> </w:t>
      </w:r>
      <w:r>
        <w:t xml:space="preserve">transparent narrative of how emphasis changes with magnification.</w:t>
      </w:r>
    </w:p>
    <w:p>
      <w:pPr>
        <w:pStyle w:val="BodyText"/>
      </w:pPr>
      <w:r>
        <w:rPr>
          <w:b/>
          <w:bCs/>
        </w:rPr>
        <w:t xml:space="preserve">Choosing radii from map scale.</w:t>
      </w:r>
      <w:r>
        <w:t xml:space="preserve"> </w:t>
      </w:r>
      <w:r>
        <w:t xml:space="preserve">When stakeholders communicate distances in kilometres or miles,</w:t>
      </w:r>
      <w:r>
        <w:t xml:space="preserve"> </w:t>
      </w:r>
      <w:r>
        <w:t xml:space="preserve">convert desired physical radii to unit radii using the bbox half-span. With</w:t>
      </w:r>
      <w:r>
        <w:t xml:space="preserve"> </w:t>
      </w:r>
      <w:r>
        <w:rPr>
          <w:rStyle w:val="VerbatimChar"/>
        </w:rPr>
        <w:t xml:space="preserve">{preserve_aspect = TRUE}</w:t>
      </w:r>
      <w:r>
        <w:t xml:space="preserve">,</w:t>
      </w:r>
      <w:r>
        <w:t xml:space="preserve"> </w:t>
      </w:r>
      <m:oMath>
        <m:sSub>
          <m:e>
            <m:r>
              <m:t>r</m:t>
            </m:r>
          </m:e>
          <m:sub>
            <m:r>
              <m:rPr>
                <m:nor/>
                <m:sty m:val="p"/>
              </m:rPr>
              <m:t>in</m:t>
            </m:r>
          </m:sub>
        </m:sSub>
        <m:r>
          <m:rPr>
            <m:sty m:val="p"/>
          </m:rPr>
          <m:t>=</m:t>
        </m:r>
        <m:r>
          <m:t>d</m:t>
        </m:r>
        <m:r>
          <m:rPr>
            <m:sty m:val="p"/>
          </m:rPr>
          <m:t>/</m:t>
        </m:r>
        <m:r>
          <m:t>s</m:t>
        </m:r>
      </m:oMath>
      <w:r>
        <w:t xml:space="preserve"> </w:t>
      </w:r>
      <w:r>
        <w:t xml:space="preserve">where</w:t>
      </w:r>
      <w:r>
        <w:t xml:space="preserve"> </w:t>
      </w:r>
      <m:oMath>
        <m:r>
          <m:t>d</m:t>
        </m:r>
      </m:oMath>
      <w:r>
        <w:t xml:space="preserve"> </w:t>
      </w:r>
      <w:r>
        <w:t xml:space="preserve">is the intended focus radius in map units (metres for</w:t>
      </w:r>
      <w:r>
        <w:t xml:space="preserve"> </w:t>
      </w:r>
      <w:r>
        <w:t xml:space="preserve">metric projections) and</w:t>
      </w:r>
      <w:r>
        <w:t xml:space="preserve"> </w:t>
      </w:r>
      <m:oMath>
        <m:r>
          <m:t>s</m:t>
        </m:r>
      </m:oMath>
      <w:r>
        <w:t xml:space="preserve"> </w:t>
      </w:r>
      <w:r>
        <w:t xml:space="preserve">is the larger half-span of the bbox. This rule allows quick calibration:</w:t>
      </w:r>
      <w:r>
        <w:t xml:space="preserve"> </w:t>
      </w:r>
      <w:r>
        <w:t xml:space="preserve">for a state with half-span 250 km, a desired 75 km focus corresponds to</w:t>
      </w:r>
      <w:r>
        <w:t xml:space="preserve"> </w:t>
      </w:r>
      <m:oMath>
        <m:sSub>
          <m:e>
            <m:r>
              <m:t>r</m:t>
            </m:r>
          </m:e>
          <m:sub>
            <m:r>
              <m:rPr>
                <m:nor/>
                <m:sty m:val="p"/>
              </m:rPr>
              <m:t>in</m:t>
            </m:r>
          </m:sub>
        </m:sSub>
        <m:r>
          <m:rPr>
            <m:sty m:val="p"/>
          </m:rPr>
          <m:t>≈</m:t>
        </m:r>
        <m:r>
          <m:t>0.30</m:t>
        </m:r>
      </m:oMath>
      <w:r>
        <w:t xml:space="preserve">.</w:t>
      </w:r>
      <w:r>
        <w:t xml:space="preserve"> </w:t>
      </w:r>
      <w:r>
        <w:t xml:space="preserve">For per-axis scaling, choose semi-axes independently:</w:t>
      </w:r>
      <w:r>
        <w:t xml:space="preserve"> </w:t>
      </w:r>
      <m:oMath>
        <m:sSub>
          <m:e>
            <m:r>
              <m:t>r</m:t>
            </m:r>
          </m:e>
          <m:sub>
            <m:r>
              <m:rPr>
                <m:nor/>
                <m:sty m:val="p"/>
              </m:rPr>
              <m:t>in,x</m:t>
            </m:r>
          </m:sub>
        </m:sSub>
        <m:r>
          <m:rPr>
            <m:sty m:val="p"/>
          </m:rPr>
          <m:t>=</m:t>
        </m:r>
        <m:sSub>
          <m:e>
            <m:r>
              <m:t>d</m:t>
            </m:r>
          </m:e>
          <m:sub>
            <m:r>
              <m:t>x</m:t>
            </m:r>
          </m:sub>
        </m:sSub>
        <m:r>
          <m:rPr>
            <m:sty m:val="p"/>
          </m:rPr>
          <m:t>/</m:t>
        </m:r>
        <m:sSub>
          <m:e>
            <m:r>
              <m:t>s</m:t>
            </m:r>
          </m:e>
          <m:sub>
            <m:r>
              <m:t>x</m:t>
            </m:r>
          </m:sub>
        </m:sSub>
      </m:oMath>
      <w:r>
        <w:t xml:space="preserve">,</w:t>
      </w:r>
      <w:r>
        <w:t xml:space="preserve"> </w:t>
      </w:r>
      <m:oMath>
        <m:sSub>
          <m:e>
            <m:r>
              <m:t>r</m:t>
            </m:r>
          </m:e>
          <m:sub>
            <m:r>
              <m:rPr>
                <m:nor/>
                <m:sty m:val="p"/>
              </m:rPr>
              <m:t>in,y</m:t>
            </m:r>
          </m:sub>
        </m:sSub>
        <m:r>
          <m:rPr>
            <m:sty m:val="p"/>
          </m:rPr>
          <m:t>=</m:t>
        </m:r>
        <m:sSub>
          <m:e>
            <m:r>
              <m:t>d</m:t>
            </m:r>
          </m:e>
          <m:sub>
            <m:r>
              <m:t>y</m:t>
            </m:r>
          </m:sub>
        </m:sSub>
        <m:r>
          <m:rPr>
            <m:sty m:val="p"/>
          </m:rPr>
          <m:t>/</m:t>
        </m:r>
        <m:sSub>
          <m:e>
            <m:r>
              <m:t>s</m:t>
            </m:r>
          </m:e>
          <m:sub>
            <m:r>
              <m:t>y</m:t>
            </m:r>
          </m:sub>
        </m:sSub>
      </m:oMath>
      <w:r>
        <w:t xml:space="preserve">, noting that the current implementation interprets</w:t>
      </w:r>
      <w:r>
        <w:t xml:space="preserve"> </w:t>
      </w:r>
      <m:oMath>
        <m:sSub>
          <m:e>
            <m:r>
              <m:t>r</m:t>
            </m:r>
          </m:e>
          <m:sub>
            <m:r>
              <m:rPr>
                <m:nor/>
                <m:sty m:val="p"/>
              </m:rPr>
              <m:t>in</m:t>
            </m:r>
          </m:sub>
        </m:sSub>
      </m:oMath>
      <w:r>
        <w:t xml:space="preserve"> </w:t>
      </w:r>
      <w:r>
        <w:t xml:space="preserve">as a</w:t>
      </w:r>
      <w:r>
        <w:t xml:space="preserve"> </w:t>
      </w:r>
      <w:r>
        <w:t xml:space="preserve">single scalar and therefore realises an ellipse only through</w:t>
      </w:r>
      <w:r>
        <w:t xml:space="preserve"> </w:t>
      </w:r>
      <w:r>
        <w:rPr>
          <w:rStyle w:val="VerbatimChar"/>
        </w:rPr>
        <w:t xml:space="preserve">preserve_aspect = FALSE</w:t>
      </w:r>
      <w:r>
        <w:t xml:space="preserve">.</w:t>
      </w:r>
    </w:p>
    <w:p>
      <w:pPr>
        <w:pStyle w:val="BodyText"/>
      </w:pPr>
      <w:r>
        <w:rPr>
          <w:b/>
          <w:bCs/>
        </w:rPr>
        <w:t xml:space="preserve">Centres for reproducibility.</w:t>
      </w:r>
      <w:r>
        <w:t xml:space="preserve"> </w:t>
      </w:r>
      <w:r>
        <w:t xml:space="preserve">To avoid ambiguity in collaborative settings, prefer specifying</w:t>
      </w:r>
      <w:r>
        <w:t xml:space="preserve"> </w:t>
      </w:r>
      <w:r>
        <w:rPr>
          <w:rStyle w:val="VerbatimChar"/>
        </w:rPr>
        <w:t xml:space="preserve">center</w:t>
      </w:r>
      <w:r>
        <w:t xml:space="preserve"> </w:t>
      </w:r>
      <w:r>
        <w:t xml:space="preserve">either as an</w:t>
      </w:r>
      <w:r>
        <w:t xml:space="preserve"> </w:t>
      </w:r>
      <w:r>
        <w:rPr>
          <w:rStyle w:val="VerbatimChar"/>
        </w:rPr>
        <w:t xml:space="preserve">sf</w:t>
      </w:r>
      <w:r>
        <w:t xml:space="preserve"> </w:t>
      </w:r>
      <w:r>
        <w:t xml:space="preserve">geometry (whose CRS is explicit) or as a lon/lat pair with</w:t>
      </w:r>
      <w:r>
        <w:t xml:space="preserve"> </w:t>
      </w:r>
      <w:r>
        <w:rPr>
          <w:rStyle w:val="VerbatimChar"/>
        </w:rPr>
        <w:t xml:space="preserve">center_crs = "EPSG:4326"</w:t>
      </w:r>
      <w:r>
        <w:t xml:space="preserve">. Numeric pairs without CRS are accepted but rely on heuristics. When</w:t>
      </w:r>
      <w:r>
        <w:t xml:space="preserve"> </w:t>
      </w:r>
      <w:r>
        <w:t xml:space="preserve">the focal area is itself a polygon or multi-polygon, passing that object as</w:t>
      </w:r>
      <w:r>
        <w:t xml:space="preserve"> </w:t>
      </w:r>
      <w:r>
        <w:rPr>
          <w:rStyle w:val="VerbatimChar"/>
        </w:rPr>
        <w:t xml:space="preserve">center</w:t>
      </w:r>
      <w:r>
        <w:t xml:space="preserve"> </w:t>
      </w:r>
      <w:r>
        <w:t xml:space="preserve">ensures the</w:t>
      </w:r>
      <w:r>
        <w:t xml:space="preserve"> </w:t>
      </w:r>
      <w:r>
        <w:t xml:space="preserve">centroid is derived from the same dataset used for the map, improving reproducibility and intent.</w:t>
      </w:r>
    </w:p>
    <w:p>
      <w:pPr>
        <w:pStyle w:val="BodyText"/>
      </w:pPr>
      <w:r>
        <w:rPr>
          <w:b/>
          <w:bCs/>
        </w:rPr>
        <w:t xml:space="preserve">CRS considerations.</w:t>
      </w:r>
      <w:r>
        <w:t xml:space="preserve"> </w:t>
      </w:r>
      <w:r>
        <w:t xml:space="preserve">Leaving</w:t>
      </w:r>
      <w:r>
        <w:t xml:space="preserve"> </w:t>
      </w:r>
      <w:r>
        <w:rPr>
          <w:rStyle w:val="VerbatimChar"/>
        </w:rPr>
        <w:t xml:space="preserve">target_crs = NULL</w:t>
      </w:r>
      <w:r>
        <w:t xml:space="preserve"> </w:t>
      </w:r>
      <w:r>
        <w:t xml:space="preserve">suffices for most lon/lat inputs because</w:t>
      </w:r>
      <w:r>
        <w:t xml:space="preserve"> </w:t>
      </w:r>
      <w:r>
        <w:t xml:space="preserve">the working CRS is chosen deterministically. Projects that maintain a standard grid (e.g., local</w:t>
      </w:r>
      <w:r>
        <w:t xml:space="preserve"> </w:t>
      </w:r>
      <w:r>
        <w:t xml:space="preserve">government dashboards) should specify</w:t>
      </w:r>
      <w:r>
        <w:t xml:space="preserve"> </w:t>
      </w:r>
      <w:r>
        <w:rPr>
          <w:rStyle w:val="VerbatimChar"/>
        </w:rPr>
        <w:t xml:space="preserve">target_crs</w:t>
      </w:r>
      <w:r>
        <w:t xml:space="preserve"> </w:t>
      </w:r>
      <w:r>
        <w:t xml:space="preserve">to improve cross-report comparability. Avoid</w:t>
      </w:r>
      <w:r>
        <w:t xml:space="preserve"> </w:t>
      </w:r>
      <w:r>
        <w:t xml:space="preserve">switching working CRS between layers that will be overlaid; doing so changes the meaning of</w:t>
      </w:r>
      <w:r>
        <w:t xml:space="preserve"> </w:t>
      </w:r>
      <w:r>
        <w:t xml:space="preserve">normalised radii and will misalign warps.</w:t>
      </w:r>
    </w:p>
    <w:p>
      <w:pPr>
        <w:pStyle w:val="BodyText"/>
      </w:pPr>
      <w:r>
        <w:rPr>
          <w:b/>
          <w:bCs/>
        </w:rPr>
        <w:t xml:space="preserve">Publication vs. exploration.</w:t>
      </w:r>
      <w:r>
        <w:t xml:space="preserve"> </w:t>
      </w:r>
      <w:r>
        <w:t xml:space="preserve">For exploratory notebooks and talks, small nonzero</w:t>
      </w:r>
      <w:r>
        <w:t xml:space="preserve"> </w:t>
      </w:r>
      <w:r>
        <w:rPr>
          <w:rStyle w:val="VerbatimChar"/>
        </w:rPr>
        <w:t xml:space="preserve">revolution</w:t>
      </w:r>
      <w:r>
        <w:t xml:space="preserve"> </w:t>
      </w:r>
      <w:r>
        <w:t xml:space="preserve">values (</w:t>
      </w:r>
      <m:oMath>
        <m:r>
          <m:rPr>
            <m:sty m:val="p"/>
          </m:rPr>
          <m:t>≤</m:t>
        </m:r>
        <m:r>
          <m:t>0.3</m:t>
        </m:r>
      </m:oMath>
      <w:r>
        <w:t xml:space="preserve"> </w:t>
      </w:r>
      <w:r>
        <w:t xml:space="preserve">radians) can help audiences perceive continuity across the glue.</w:t>
      </w:r>
      <w:r>
        <w:t xml:space="preserve"> </w:t>
      </w:r>
      <w:r>
        <w:t xml:space="preserve">For manuscripts and dashboards, prefer</w:t>
      </w:r>
      <w:r>
        <w:t xml:space="preserve"> </w:t>
      </w:r>
      <w:r>
        <w:rPr>
          <w:rStyle w:val="VerbatimChar"/>
        </w:rPr>
        <w:t xml:space="preserve">revolution = 0</w:t>
      </w:r>
      <w:r>
        <w:t xml:space="preserve">. Similarly, start with</w:t>
      </w:r>
      <w:r>
        <w:t xml:space="preserve"> </w:t>
      </w:r>
      <w:r>
        <w:rPr>
          <w:rStyle w:val="VerbatimChar"/>
        </w:rPr>
        <w:t xml:space="preserve">"expand"</w:t>
      </w:r>
      <w:r>
        <w:t xml:space="preserve"> </w:t>
      </w:r>
      <w:r>
        <w:t xml:space="preserve">and</w:t>
      </w:r>
      <w:r>
        <w:t xml:space="preserve"> </w:t>
      </w:r>
      <w:r>
        <w:t xml:space="preserve">adopt</w:t>
      </w:r>
      <w:r>
        <w:t xml:space="preserve"> </w:t>
      </w:r>
      <w:r>
        <w:rPr>
          <w:rStyle w:val="VerbatimChar"/>
        </w:rPr>
        <w:t xml:space="preserve">"outward"</w:t>
      </w:r>
      <w:r>
        <w:t xml:space="preserve"> </w:t>
      </w:r>
      <w:r>
        <w:t xml:space="preserve">only when outer stability is an explicit requirement. Always annotate or at</w:t>
      </w:r>
      <w:r>
        <w:t xml:space="preserve"> </w:t>
      </w:r>
      <w:r>
        <w:t xml:space="preserve">least describe the distortion in figure captions so readers do not mistake warped areas for standard</w:t>
      </w:r>
      <w:r>
        <w:t xml:space="preserve"> </w:t>
      </w:r>
      <w:r>
        <w:t xml:space="preserve">projections.</w:t>
      </w:r>
    </w:p>
    <w:bookmarkEnd w:id="41"/>
    <w:bookmarkEnd w:id="42"/>
    <w:bookmarkStart w:id="57" w:name="examples-of-use"/>
    <w:p>
      <w:pPr>
        <w:pStyle w:val="Heading1"/>
      </w:pPr>
      <w:r>
        <w:t xml:space="preserve">Examples of use</w:t>
      </w:r>
    </w:p>
    <w:p>
      <w:pPr>
        <w:pStyle w:val="FirstParagraph"/>
      </w:pPr>
      <w:r>
        <w:t xml:space="preserve">We demonstrate mapycusmaximus on Victorian ambulance dispatch data, progressively building complexity to show how the fisheye transformation reveals patterns invisible in standard plots.</w:t>
      </w:r>
    </w:p>
    <w:bookmarkStart w:id="52" w:name="hospital-locations-within-state-context"/>
    <w:p>
      <w:pPr>
        <w:pStyle w:val="Heading2"/>
      </w:pPr>
      <w:r>
        <w:t xml:space="preserve">Hospital locations within state context</w:t>
      </w:r>
    </w:p>
    <w:p>
      <w:pPr>
        <w:pStyle w:val="FirstParagraph"/>
      </w:pPr>
      <w:r>
        <w:drawing>
          <wp:inline>
            <wp:extent cx="4620126" cy="3696101"/>
            <wp:effectExtent b="0" l="0" r="0" t="0"/>
            <wp:docPr descr="" title="" id="44" name="Picture"/>
            <a:graphic>
              <a:graphicData uri="http://schemas.openxmlformats.org/drawingml/2006/picture">
                <pic:pic>
                  <pic:nvPicPr>
                    <pic:cNvPr descr="paper-mapycusmaximus_files/figure-docx/hospitals-basic-plot-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we can see that in normal approach, we can plot the location of each hospital and each Residential Aged Care Facilities (RACFs) in Melbourne. The map is a bit cluttered, and it is hard to see the relationship between hospitals and RACFs. However, we can still make some sense that the number of RACFs is quite overwhelming comparing to the number of hospitals. The clustering in the metropolitan area of Melbourne is overwhelming and if we put the two plot overlapping each other, then most of the hospitals and RACFs are not visible anymore.</w:t>
      </w:r>
    </w:p>
    <w:p>
      <w:pPr>
        <w:pStyle w:val="BodyText"/>
      </w:pPr>
      <w:r>
        <w:drawing>
          <wp:inline>
            <wp:extent cx="4620126" cy="3696101"/>
            <wp:effectExtent b="0" l="0" r="0" t="0"/>
            <wp:docPr descr="" title="" id="47" name="Picture"/>
            <a:graphic>
              <a:graphicData uri="http://schemas.openxmlformats.org/drawingml/2006/picture">
                <pic:pic>
                  <pic:nvPicPr>
                    <pic:cNvPr descr="paper-mapycusmaximus_files/figure-docx/connection-plo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go one step futher and displaying the connection or transportation between hospital and RACFs as linestring on the map, with the weight of the line representing the number of ambulance dispatches. The transparency of the line is also proportional to the weight. As we can see know, the central area of Melbourne now complete lost and we can no longer see the spacial structure underneath anymore.</w:t>
      </w:r>
    </w:p>
    <w:p>
      <w:pPr>
        <w:pStyle w:val="BodyText"/>
      </w:pPr>
      <w:r>
        <w:drawing>
          <wp:inline>
            <wp:extent cx="4620126" cy="3696101"/>
            <wp:effectExtent b="0" l="0" r="0" t="0"/>
            <wp:docPr descr="" title="" id="50" name="Picture"/>
            <a:graphic>
              <a:graphicData uri="http://schemas.openxmlformats.org/drawingml/2006/picture">
                <pic:pic>
                  <pic:nvPicPr>
                    <pic:cNvPr descr="paper-mapycusmaximus_files/figure-docx/fisheye-plo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zoom level at 20, we can directly zoom in and display the Melbourne region to show the number of hospital and RACFs in that LGA, but still reserving the map and the area around with the VIC map to show the spacial structure. Futhermore, since this is just still one</w:t>
      </w:r>
      <w:r>
        <w:t xml:space="preserve"> </w:t>
      </w:r>
      <w:r>
        <w:rPr>
          <w:rStyle w:val="VerbatimChar"/>
        </w:rPr>
        <w:t xml:space="preserve">sf</w:t>
      </w:r>
      <w:r>
        <w:t xml:space="preserve"> </w:t>
      </w:r>
      <w:r>
        <w:t xml:space="preserve">object, multiple calculation that apply to a global context still can be procedd and will not be effected by the fisheye zoom effect.</w:t>
      </w:r>
    </w:p>
    <w:bookmarkEnd w:id="52"/>
    <w:bookmarkStart w:id="56" w:name="france-example"/>
    <w:p>
      <w:pPr>
        <w:pStyle w:val="Heading2"/>
      </w:pPr>
      <w:r>
        <w:t xml:space="preserve">France example</w:t>
      </w:r>
    </w:p>
    <w:p>
      <w:pPr>
        <w:pStyle w:val="FirstParagraph"/>
      </w:pPr>
      <w:r>
        <w:drawing>
          <wp:inline>
            <wp:extent cx="4620126" cy="3696101"/>
            <wp:effectExtent b="0" l="0" r="0" t="0"/>
            <wp:docPr descr="" title="" id="54" name="Picture"/>
            <a:graphic>
              <a:graphicData uri="http://schemas.openxmlformats.org/drawingml/2006/picture">
                <pic:pic>
                  <pic:nvPicPr>
                    <pic:cNvPr descr="paper-mapycusmaximus_files/figure-docx/unnamed-chunk-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End w:id="57"/>
    <w:bookmarkStart w:id="93" w:name="discussion"/>
    <w:p>
      <w:pPr>
        <w:pStyle w:val="Heading1"/>
      </w:pPr>
      <w:r>
        <w:t xml:space="preserve">Discussion</w:t>
      </w:r>
    </w:p>
    <w:p>
      <w:pPr>
        <w:pStyle w:val="FirstParagraph"/>
      </w:pPr>
      <w:r>
        <w:t xml:space="preserve">HERE YOU SUMMARISE WHAT THE PAPER CONTRIBUTED IN ONE PARAGRAPH AND SUGGEST NEW WORK THAT MIGHT BE DONE THAT YOU DIDN’T HAVE TIME TO DO</w:t>
      </w:r>
    </w:p>
    <w:bookmarkStart w:id="92" w:name="refs"/>
    <w:bookmarkStart w:id="59" w:name="ref-bier1993"/>
    <w:p>
      <w:pPr>
        <w:pStyle w:val="Bibliography"/>
      </w:pPr>
      <w:r>
        <w:t xml:space="preserve">Bier, Eric A., Maureen C. Stone, Ken Pier, William Buxton, and Tony D. DeRose. 1993.</w:t>
      </w:r>
      <w:r>
        <w:t xml:space="preserve"> </w:t>
      </w:r>
      <w:r>
        <w:t xml:space="preserve">“Toolglass and Magic Lenses: The See-Through Interface.”</w:t>
      </w:r>
      <w:r>
        <w:t xml:space="preserve"> </w:t>
      </w:r>
      <w:r>
        <w:t xml:space="preserve">In</w:t>
      </w:r>
      <w:r>
        <w:t xml:space="preserve"> </w:t>
      </w:r>
      <w:r>
        <w:rPr>
          <w:i/>
          <w:iCs/>
        </w:rPr>
        <w:t xml:space="preserve">Proceedings of SIGGRAPH ’93</w:t>
      </w:r>
      <w:r>
        <w:t xml:space="preserve">, 73–80.</w:t>
      </w:r>
      <w:r>
        <w:t xml:space="preserve"> </w:t>
      </w:r>
      <w:hyperlink r:id="rId58">
        <w:r>
          <w:rPr>
            <w:rStyle w:val="Hyperlink"/>
          </w:rPr>
          <w:t xml:space="preserve">https://doi.org/10.1145/166117.166126</w:t>
        </w:r>
      </w:hyperlink>
      <w:r>
        <w:t xml:space="preserve">.</w:t>
      </w:r>
    </w:p>
    <w:bookmarkEnd w:id="59"/>
    <w:bookmarkStart w:id="61" w:name="ref-carpendale2001"/>
    <w:p>
      <w:pPr>
        <w:pStyle w:val="Bibliography"/>
      </w:pPr>
      <w:r>
        <w:t xml:space="preserve">Carpendale, M. Sheelagh T., and Catherine Montagnese. 2001.</w:t>
      </w:r>
      <w:r>
        <w:t xml:space="preserve"> </w:t>
      </w:r>
      <w:r>
        <w:t xml:space="preserve">“A Framework for Unifying Presentation Space.”</w:t>
      </w:r>
      <w:r>
        <w:t xml:space="preserve"> </w:t>
      </w:r>
      <w:r>
        <w:t xml:space="preserve">In</w:t>
      </w:r>
      <w:r>
        <w:t xml:space="preserve"> </w:t>
      </w:r>
      <w:r>
        <w:rPr>
          <w:i/>
          <w:iCs/>
        </w:rPr>
        <w:t xml:space="preserve">Proceedings of the 14th Annual ACM Symposium on User Interface Software and Technology</w:t>
      </w:r>
      <w:r>
        <w:t xml:space="preserve">, 61–70.</w:t>
      </w:r>
      <w:r>
        <w:t xml:space="preserve"> </w:t>
      </w:r>
      <w:hyperlink r:id="rId60">
        <w:r>
          <w:rPr>
            <w:rStyle w:val="Hyperlink"/>
          </w:rPr>
          <w:t xml:space="preserve">https://doi.org/10.1145/502348.502371</w:t>
        </w:r>
      </w:hyperlink>
      <w:r>
        <w:t xml:space="preserve">.</w:t>
      </w:r>
    </w:p>
    <w:bookmarkEnd w:id="61"/>
    <w:bookmarkStart w:id="63" w:name="ref-cockburn2008"/>
    <w:p>
      <w:pPr>
        <w:pStyle w:val="Bibliography"/>
      </w:pPr>
      <w:r>
        <w:t xml:space="preserve">Cockburn, Andy, Amy Karlson, and Benjamin B. Bederson. 2008.</w:t>
      </w:r>
      <w:r>
        <w:t xml:space="preserve"> </w:t>
      </w:r>
      <w:r>
        <w:t xml:space="preserve">“A Review of Overview+detail, Zooming, and Focus+context Interfaces.”</w:t>
      </w:r>
      <w:r>
        <w:t xml:space="preserve"> </w:t>
      </w:r>
      <w:r>
        <w:rPr>
          <w:i/>
          <w:iCs/>
        </w:rPr>
        <w:t xml:space="preserve">ACM Computing Surveys</w:t>
      </w:r>
      <w:r>
        <w:t xml:space="preserve"> </w:t>
      </w:r>
      <w:r>
        <w:t xml:space="preserve">41 (1): 1–31.</w:t>
      </w:r>
      <w:r>
        <w:t xml:space="preserve"> </w:t>
      </w:r>
      <w:hyperlink r:id="rId62">
        <w:r>
          <w:rPr>
            <w:rStyle w:val="Hyperlink"/>
          </w:rPr>
          <w:t xml:space="preserve">https://doi.org/10.1145/1456650.1456652</w:t>
        </w:r>
      </w:hyperlink>
      <w:r>
        <w:t xml:space="preserve">.</w:t>
      </w:r>
    </w:p>
    <w:bookmarkEnd w:id="63"/>
    <w:bookmarkStart w:id="65" w:name="ref-furnas1986"/>
    <w:p>
      <w:pPr>
        <w:pStyle w:val="Bibliography"/>
      </w:pPr>
      <w:r>
        <w:t xml:space="preserve">Furnas, George W. 1986.</w:t>
      </w:r>
      <w:r>
        <w:t xml:space="preserve"> </w:t>
      </w:r>
      <w:r>
        <w:t xml:space="preserve">“Generalized Fisheye Views.”</w:t>
      </w:r>
      <w:r>
        <w:t xml:space="preserve"> </w:t>
      </w:r>
      <w:r>
        <w:t xml:space="preserve">In</w:t>
      </w:r>
      <w:r>
        <w:t xml:space="preserve"> </w:t>
      </w:r>
      <w:r>
        <w:rPr>
          <w:i/>
          <w:iCs/>
        </w:rPr>
        <w:t xml:space="preserve">Proceedings of CHI ’86</w:t>
      </w:r>
      <w:r>
        <w:t xml:space="preserve">, 16–23.</w:t>
      </w:r>
      <w:r>
        <w:t xml:space="preserve"> </w:t>
      </w:r>
      <w:hyperlink r:id="rId64">
        <w:r>
          <w:rPr>
            <w:rStyle w:val="Hyperlink"/>
          </w:rPr>
          <w:t xml:space="preserve">https://doi.org/10.1145/22627.22342</w:t>
        </w:r>
      </w:hyperlink>
      <w:r>
        <w:t xml:space="preserve">.</w:t>
      </w:r>
    </w:p>
    <w:bookmarkEnd w:id="65"/>
    <w:bookmarkStart w:id="67" w:name="ref-gastner2004"/>
    <w:p>
      <w:pPr>
        <w:pStyle w:val="Bibliography"/>
      </w:pPr>
      <w:r>
        <w:t xml:space="preserve">Gastner, Michael T., and M. E. J. Newman. 2004.</w:t>
      </w:r>
      <w:r>
        <w:t xml:space="preserve"> </w:t>
      </w:r>
      <w:r>
        <w:t xml:space="preserve">“Diffusion-Based Method for Producing Density-Equalizing Maps.”</w:t>
      </w:r>
      <w:r>
        <w:t xml:space="preserve"> </w:t>
      </w:r>
      <w:r>
        <w:rPr>
          <w:i/>
          <w:iCs/>
        </w:rPr>
        <w:t xml:space="preserve">Proceedings of the National Academy of Sciences</w:t>
      </w:r>
      <w:r>
        <w:t xml:space="preserve"> </w:t>
      </w:r>
      <w:r>
        <w:t xml:space="preserve">101 (20): 7499–7504.</w:t>
      </w:r>
      <w:r>
        <w:t xml:space="preserve"> </w:t>
      </w:r>
      <w:hyperlink r:id="rId66">
        <w:r>
          <w:rPr>
            <w:rStyle w:val="Hyperlink"/>
          </w:rPr>
          <w:t xml:space="preserve">https://doi.org/10.1073/pnas.0400280101</w:t>
        </w:r>
      </w:hyperlink>
      <w:r>
        <w:t xml:space="preserve">.</w:t>
      </w:r>
    </w:p>
    <w:bookmarkEnd w:id="67"/>
    <w:bookmarkStart w:id="68" w:name="ref-harrie2002"/>
    <w:p>
      <w:pPr>
        <w:pStyle w:val="Bibliography"/>
      </w:pPr>
      <w:r>
        <w:t xml:space="preserve">Harrie, Lars, L. Tiina Sarjakoski, and Lassi Lehto. 2002.</w:t>
      </w:r>
      <w:r>
        <w:t xml:space="preserve"> </w:t>
      </w:r>
      <w:r>
        <w:t xml:space="preserve">“A Variable-Scale Map for Small-Display Cartography.”</w:t>
      </w:r>
      <w:r>
        <w:t xml:space="preserve"> </w:t>
      </w:r>
      <w:r>
        <w:t xml:space="preserve">In</w:t>
      </w:r>
      <w:r>
        <w:t xml:space="preserve"> </w:t>
      </w:r>
      <w:r>
        <w:rPr>
          <w:i/>
          <w:iCs/>
        </w:rPr>
        <w:t xml:space="preserve">Joint International Symposium on Geospatial Theory, Processing and Applications</w:t>
      </w:r>
      <w:r>
        <w:t xml:space="preserve">, 1–6.</w:t>
      </w:r>
    </w:p>
    <w:bookmarkEnd w:id="68"/>
    <w:bookmarkStart w:id="70" w:name="ref-laa2020"/>
    <w:p>
      <w:pPr>
        <w:pStyle w:val="Bibliography"/>
      </w:pPr>
      <w:r>
        <w:t xml:space="preserve">Laa, Ursula, Dianne Cook, and Stuart Lee. 2020.</w:t>
      </w:r>
      <w:r>
        <w:t xml:space="preserve"> </w:t>
      </w:r>
      <w:r>
        <w:t xml:space="preserve">“Burning Sage: Reversing the Curse of Dimensionality in the Visualization of High-Dimensional Data.”</w:t>
      </w:r>
      <w:r>
        <w:t xml:space="preserve"> </w:t>
      </w:r>
      <w:hyperlink r:id="rId69">
        <w:r>
          <w:rPr>
            <w:rStyle w:val="Hyperlink"/>
          </w:rPr>
          <w:t xml:space="preserve">https://arxiv.org/abs/2009.10979</w:t>
        </w:r>
      </w:hyperlink>
      <w:r>
        <w:t xml:space="preserve">.</w:t>
      </w:r>
    </w:p>
    <w:bookmarkEnd w:id="70"/>
    <w:bookmarkStart w:id="72" w:name="ref-lamping1995"/>
    <w:p>
      <w:pPr>
        <w:pStyle w:val="Bibliography"/>
      </w:pPr>
      <w:r>
        <w:t xml:space="preserve">Lamping, John, Ramana Rao, and Peter Pirolli. 1995.</w:t>
      </w:r>
      <w:r>
        <w:t xml:space="preserve"> </w:t>
      </w:r>
      <w:r>
        <w:t xml:space="preserve">“A Focus+context Technique Based on Hyperbolic Geometry for Visualizing Large Hierarchies.”</w:t>
      </w:r>
      <w:r>
        <w:t xml:space="preserve"> </w:t>
      </w:r>
      <w:r>
        <w:t xml:space="preserve">In</w:t>
      </w:r>
      <w:r>
        <w:t xml:space="preserve"> </w:t>
      </w:r>
      <w:r>
        <w:rPr>
          <w:i/>
          <w:iCs/>
        </w:rPr>
        <w:t xml:space="preserve">Proceedings of CHI ’95</w:t>
      </w:r>
      <w:r>
        <w:t xml:space="preserve">, 401–8.</w:t>
      </w:r>
      <w:r>
        <w:t xml:space="preserve"> </w:t>
      </w:r>
      <w:hyperlink r:id="rId71">
        <w:r>
          <w:rPr>
            <w:rStyle w:val="Hyperlink"/>
          </w:rPr>
          <w:t xml:space="preserve">https://doi.org/10.1145/223904.223956</w:t>
        </w:r>
      </w:hyperlink>
      <w:r>
        <w:t xml:space="preserve">.</w:t>
      </w:r>
    </w:p>
    <w:bookmarkEnd w:id="72"/>
    <w:bookmarkStart w:id="74" w:name="ref-JMLR:v9:vandermaaten08a"/>
    <w:p>
      <w:pPr>
        <w:pStyle w:val="Bibliography"/>
      </w:pPr>
      <w:r>
        <w:t xml:space="preserve">Maaten, Laurens van der, and Geoffrey Hinton. 2008.</w:t>
      </w:r>
      <w:r>
        <w:t xml:space="preserve"> </w:t>
      </w:r>
      <w:r>
        <w:t xml:space="preserve">“Visualizing Data Using t-SNE.”</w:t>
      </w:r>
      <w:r>
        <w:t xml:space="preserve"> </w:t>
      </w:r>
      <w:r>
        <w:rPr>
          <w:i/>
          <w:iCs/>
        </w:rPr>
        <w:t xml:space="preserve">Journal of Machine Learning Research</w:t>
      </w:r>
      <w:r>
        <w:t xml:space="preserve"> </w:t>
      </w:r>
      <w:r>
        <w:t xml:space="preserve">9 (86): 2579–2605.</w:t>
      </w:r>
      <w:r>
        <w:t xml:space="preserve"> </w:t>
      </w:r>
      <w:hyperlink r:id="rId73">
        <w:r>
          <w:rPr>
            <w:rStyle w:val="Hyperlink"/>
          </w:rPr>
          <w:t xml:space="preserve">http://jmlr.org/papers/v9/vandermaaten08a.html</w:t>
        </w:r>
      </w:hyperlink>
      <w:r>
        <w:t xml:space="preserve">.</w:t>
      </w:r>
    </w:p>
    <w:bookmarkEnd w:id="74"/>
    <w:bookmarkStart w:id="76" w:name="Xf90803f1eb871e497375ff579d05f90228ea516"/>
    <w:p>
      <w:pPr>
        <w:pStyle w:val="Bibliography"/>
      </w:pPr>
      <w:r>
        <w:t xml:space="preserve">McInnes, Leland, John Healy, and James Melville. 2020.</w:t>
      </w:r>
      <w:r>
        <w:t xml:space="preserve"> </w:t>
      </w:r>
      <w:r>
        <w:t xml:space="preserve">“UMAP: Uniform Manifold Approximation and Projection for Dimension Reduction.”</w:t>
      </w:r>
      <w:r>
        <w:t xml:space="preserve"> </w:t>
      </w:r>
      <w:hyperlink r:id="rId75">
        <w:r>
          <w:rPr>
            <w:rStyle w:val="Hyperlink"/>
          </w:rPr>
          <w:t xml:space="preserve">https://arxiv.org/abs/1802.03426</w:t>
        </w:r>
      </w:hyperlink>
      <w:r>
        <w:t xml:space="preserve">.</w:t>
      </w:r>
    </w:p>
    <w:bookmarkEnd w:id="76"/>
    <w:bookmarkStart w:id="78" w:name="ref-RJ-2018-009"/>
    <w:p>
      <w:pPr>
        <w:pStyle w:val="Bibliography"/>
      </w:pPr>
      <w:r>
        <w:t xml:space="preserve">Pebesma, Edzer. 2018.</w:t>
      </w:r>
      <w:r>
        <w:t xml:space="preserve"> </w:t>
      </w:r>
      <w:r>
        <w:t xml:space="preserve">“Simple Features for r: Standardized Support for Spatial Vector Data.”</w:t>
      </w:r>
      <w:r>
        <w:t xml:space="preserve"> </w:t>
      </w:r>
      <w:r>
        <w:rPr>
          <w:i/>
          <w:iCs/>
        </w:rPr>
        <w:t xml:space="preserve">The R Journal</w:t>
      </w:r>
      <w:r>
        <w:t xml:space="preserve"> </w:t>
      </w:r>
      <w:r>
        <w:t xml:space="preserve">10: 439–46.</w:t>
      </w:r>
      <w:r>
        <w:t xml:space="preserve"> </w:t>
      </w:r>
      <w:hyperlink r:id="rId77">
        <w:r>
          <w:rPr>
            <w:rStyle w:val="Hyperlink"/>
          </w:rPr>
          <w:t xml:space="preserve">https://doi.org/10.32614/RJ-2018-009</w:t>
        </w:r>
      </w:hyperlink>
      <w:r>
        <w:t xml:space="preserve">.</w:t>
      </w:r>
    </w:p>
    <w:bookmarkEnd w:id="78"/>
    <w:bookmarkStart w:id="80" w:name="ref-sarkar1992"/>
    <w:p>
      <w:pPr>
        <w:pStyle w:val="Bibliography"/>
      </w:pPr>
      <w:r>
        <w:t xml:space="preserve">Sarkar, Manojit, and Marc H. Brown. 1992.</w:t>
      </w:r>
      <w:r>
        <w:t xml:space="preserve"> </w:t>
      </w:r>
      <w:r>
        <w:t xml:space="preserve">“Graphical Fisheye Views of Graphs.”</w:t>
      </w:r>
      <w:r>
        <w:t xml:space="preserve"> </w:t>
      </w:r>
      <w:r>
        <w:t xml:space="preserve">In</w:t>
      </w:r>
      <w:r>
        <w:t xml:space="preserve"> </w:t>
      </w:r>
      <w:r>
        <w:rPr>
          <w:i/>
          <w:iCs/>
        </w:rPr>
        <w:t xml:space="preserve">Proceedings of CHI ’92</w:t>
      </w:r>
      <w:r>
        <w:t xml:space="preserve">, 83–91.</w:t>
      </w:r>
      <w:r>
        <w:t xml:space="preserve"> </w:t>
      </w:r>
      <w:hyperlink r:id="rId79">
        <w:r>
          <w:rPr>
            <w:rStyle w:val="Hyperlink"/>
          </w:rPr>
          <w:t xml:space="preserve">https://doi.org/10.1145/142750.142763</w:t>
        </w:r>
      </w:hyperlink>
      <w:r>
        <w:t xml:space="preserve">.</w:t>
      </w:r>
    </w:p>
    <w:bookmarkEnd w:id="80"/>
    <w:bookmarkStart w:id="82" w:name="ref-sarkar1994"/>
    <w:p>
      <w:pPr>
        <w:pStyle w:val="Bibliography"/>
      </w:pPr>
      <w:r>
        <w:t xml:space="preserve">———. 1994.</w:t>
      </w:r>
      <w:r>
        <w:t xml:space="preserve"> </w:t>
      </w:r>
      <w:r>
        <w:t xml:space="preserve">“Graphical Fisheye Views.”</w:t>
      </w:r>
      <w:r>
        <w:t xml:space="preserve"> </w:t>
      </w:r>
      <w:r>
        <w:rPr>
          <w:i/>
          <w:iCs/>
        </w:rPr>
        <w:t xml:space="preserve">Communications of the ACM</w:t>
      </w:r>
      <w:r>
        <w:t xml:space="preserve"> </w:t>
      </w:r>
      <w:r>
        <w:t xml:space="preserve">37 (12): 73–84.</w:t>
      </w:r>
      <w:r>
        <w:t xml:space="preserve"> </w:t>
      </w:r>
      <w:hyperlink r:id="rId81">
        <w:r>
          <w:rPr>
            <w:rStyle w:val="Hyperlink"/>
          </w:rPr>
          <w:t xml:space="preserve">https://doi.org/10.1145/198366.198384</w:t>
        </w:r>
      </w:hyperlink>
      <w:r>
        <w:t xml:space="preserve">.</w:t>
      </w:r>
    </w:p>
    <w:bookmarkEnd w:id="82"/>
    <w:bookmarkStart w:id="83" w:name="ref-snyder1987"/>
    <w:p>
      <w:pPr>
        <w:pStyle w:val="Bibliography"/>
      </w:pPr>
      <w:r>
        <w:t xml:space="preserve">Snyder, John P. 1987.</w:t>
      </w:r>
      <w:r>
        <w:t xml:space="preserve"> </w:t>
      </w:r>
      <w:r>
        <w:t xml:space="preserve">“"Magnifying-Glass" Azimuthal Map Projections.”</w:t>
      </w:r>
      <w:r>
        <w:t xml:space="preserve"> </w:t>
      </w:r>
      <w:r>
        <w:rPr>
          <w:i/>
          <w:iCs/>
        </w:rPr>
        <w:t xml:space="preserve">The American Cartographer</w:t>
      </w:r>
      <w:r>
        <w:t xml:space="preserve"> </w:t>
      </w:r>
      <w:r>
        <w:t xml:space="preserve">14 (1): 61–68.</w:t>
      </w:r>
    </w:p>
    <w:bookmarkEnd w:id="83"/>
    <w:bookmarkStart w:id="85" w:name="ref-wickham2016"/>
    <w:p>
      <w:pPr>
        <w:pStyle w:val="Bibliography"/>
      </w:pPr>
      <w:r>
        <w:t xml:space="preserve">Wickham, Hadley. 2016.</w:t>
      </w:r>
      <w:r>
        <w:t xml:space="preserve"> </w:t>
      </w:r>
      <w:r>
        <w:rPr>
          <w:i/>
          <w:iCs/>
        </w:rPr>
        <w:t xml:space="preserve">Ggplot2: Elegant Graphics for Data Analysis</w:t>
      </w:r>
      <w:r>
        <w:t xml:space="preserve">. Springer.</w:t>
      </w:r>
      <w:r>
        <w:t xml:space="preserve"> </w:t>
      </w:r>
      <w:hyperlink r:id="rId84">
        <w:r>
          <w:rPr>
            <w:rStyle w:val="Hyperlink"/>
          </w:rPr>
          <w:t xml:space="preserve">https://doi.org/10.1007/978-3-319-24277-4</w:t>
        </w:r>
      </w:hyperlink>
      <w:r>
        <w:t xml:space="preserve">.</w:t>
      </w:r>
    </w:p>
    <w:bookmarkEnd w:id="85"/>
    <w:bookmarkStart w:id="87" w:name="ref-cowplot"/>
    <w:p>
      <w:pPr>
        <w:pStyle w:val="Bibliography"/>
      </w:pPr>
      <w:r>
        <w:t xml:space="preserve">Wilke, Claus O. 2025.</w:t>
      </w:r>
      <w:r>
        <w:t xml:space="preserve"> </w:t>
      </w:r>
      <w:r>
        <w:rPr>
          <w:i/>
          <w:iCs/>
        </w:rPr>
        <w:t xml:space="preserve">Cowplot: Streamlined Plot Theme and Plot Annotations for ’Ggplot2’</w:t>
      </w:r>
      <w:r>
        <w:t xml:space="preserve">.</w:t>
      </w:r>
      <w:r>
        <w:t xml:space="preserve"> </w:t>
      </w:r>
      <w:hyperlink r:id="rId86">
        <w:r>
          <w:rPr>
            <w:rStyle w:val="Hyperlink"/>
          </w:rPr>
          <w:t xml:space="preserve">https://wilkelab.org/cowplot/</w:t>
        </w:r>
      </w:hyperlink>
      <w:r>
        <w:t xml:space="preserve">.</w:t>
      </w:r>
    </w:p>
    <w:bookmarkEnd w:id="87"/>
    <w:bookmarkStart w:id="89" w:name="ref-yamamoto2009"/>
    <w:p>
      <w:pPr>
        <w:pStyle w:val="Bibliography"/>
      </w:pPr>
      <w:r>
        <w:t xml:space="preserve">Yamamoto, Daisuke, Shotaro Ozeki, and Naohisa Takahashi. 2009.</w:t>
      </w:r>
      <w:r>
        <w:t xml:space="preserve"> </w:t>
      </w:r>
      <w:r>
        <w:t xml:space="preserve">“Wired Fisheye Lens: A Motion-Based Improved Fisheye Interface for Mobile Web Map Services.”</w:t>
      </w:r>
      <w:r>
        <w:t xml:space="preserve"> </w:t>
      </w:r>
      <w:r>
        <w:t xml:space="preserve">In</w:t>
      </w:r>
      <w:r>
        <w:t xml:space="preserve"> </w:t>
      </w:r>
      <w:r>
        <w:rPr>
          <w:i/>
          <w:iCs/>
        </w:rPr>
        <w:t xml:space="preserve">Web and Wireless Geographical Information Systems</w:t>
      </w:r>
      <w:r>
        <w:t xml:space="preserve">, edited by A. Stewart Carswell James D.and Fotheringham and Gavin McArdle, 153–70. Berlin, Heidelberg: Springer Berlin Heidelberg. https://doi.org/</w:t>
      </w:r>
      <w:hyperlink r:id="rId88">
        <w:r>
          <w:rPr>
            <w:rStyle w:val="Hyperlink"/>
          </w:rPr>
          <w:t xml:space="preserve">https://doi.org/10.1007/978-3-642-10601-9_11</w:t>
        </w:r>
      </w:hyperlink>
      <w:r>
        <w:t xml:space="preserve">.</w:t>
      </w:r>
    </w:p>
    <w:bookmarkEnd w:id="89"/>
    <w:bookmarkStart w:id="91" w:name="ref-yamamoto2012"/>
    <w:p>
      <w:pPr>
        <w:pStyle w:val="Bibliography"/>
      </w:pPr>
      <w:r>
        <w:t xml:space="preserve">Yamamoto, Daisuke, Shunsuke Ozeki, Naohisa Takahashi, and Shigeo Takahashi. 2012.</w:t>
      </w:r>
      <w:r>
        <w:t xml:space="preserve"> </w:t>
      </w:r>
      <w:r>
        <w:t xml:space="preserve">“A Fusion of Multiple Focuses on a Focus+glue+context Map.”</w:t>
      </w:r>
      <w:r>
        <w:t xml:space="preserve"> </w:t>
      </w:r>
      <w:r>
        <w:t xml:space="preserve">In</w:t>
      </w:r>
      <w:r>
        <w:t xml:space="preserve"> </w:t>
      </w:r>
      <w:r>
        <w:rPr>
          <w:i/>
          <w:iCs/>
        </w:rPr>
        <w:t xml:space="preserve">Advances in Cartography and GIScience</w:t>
      </w:r>
      <w:r>
        <w:t xml:space="preserve">, 23–37.</w:t>
      </w:r>
      <w:r>
        <w:t xml:space="preserve"> </w:t>
      </w:r>
      <w:hyperlink r:id="rId90">
        <w:r>
          <w:rPr>
            <w:rStyle w:val="Hyperlink"/>
          </w:rPr>
          <w:t xml:space="preserve">https://doi.org/10.1007/978-3-642-29934-6_2</w:t>
        </w:r>
      </w:hyperlink>
      <w:r>
        <w:t xml:space="preserve">.</w:t>
      </w:r>
    </w:p>
    <w:bookmarkEnd w:id="91"/>
    <w:bookmarkEnd w:id="92"/>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53" Target="media/rId53.png" /><Relationship Type="http://schemas.openxmlformats.org/officeDocument/2006/relationships/hyperlink" Id="rId73" Target="http://jmlr.org/papers/v9/vandermaaten08a.html" TargetMode="External" /><Relationship Type="http://schemas.openxmlformats.org/officeDocument/2006/relationships/hyperlink" Id="rId95" Target="https://alex-nguyen-vn.github.io" TargetMode="External" /><Relationship Type="http://schemas.openxmlformats.org/officeDocument/2006/relationships/hyperlink" Id="rId75" Target="https://arxiv.org/abs/1802.03426" TargetMode="External" /><Relationship Type="http://schemas.openxmlformats.org/officeDocument/2006/relationships/hyperlink" Id="rId69" Target="https://arxiv.org/abs/2009.10979" TargetMode="External" /><Relationship Type="http://schemas.openxmlformats.org/officeDocument/2006/relationships/hyperlink" Id="rId84" Target="https://doi.org/10.1007/978-3-319-24277-4" TargetMode="External" /><Relationship Type="http://schemas.openxmlformats.org/officeDocument/2006/relationships/hyperlink" Id="rId88" Target="https://doi.org/10.1007/978-3-642-10601-9_11" TargetMode="External" /><Relationship Type="http://schemas.openxmlformats.org/officeDocument/2006/relationships/hyperlink" Id="rId90" Target="https://doi.org/10.1007/978-3-642-29934-6_2" TargetMode="External" /><Relationship Type="http://schemas.openxmlformats.org/officeDocument/2006/relationships/hyperlink" Id="rId66" Target="https://doi.org/10.1073/pnas.0400280101" TargetMode="External" /><Relationship Type="http://schemas.openxmlformats.org/officeDocument/2006/relationships/hyperlink" Id="rId79" Target="https://doi.org/10.1145/142750.142763" TargetMode="External" /><Relationship Type="http://schemas.openxmlformats.org/officeDocument/2006/relationships/hyperlink" Id="rId62" Target="https://doi.org/10.1145/1456650.1456652" TargetMode="External" /><Relationship Type="http://schemas.openxmlformats.org/officeDocument/2006/relationships/hyperlink" Id="rId58" Target="https://doi.org/10.1145/166117.166126" TargetMode="External" /><Relationship Type="http://schemas.openxmlformats.org/officeDocument/2006/relationships/hyperlink" Id="rId81" Target="https://doi.org/10.1145/198366.198384" TargetMode="External" /><Relationship Type="http://schemas.openxmlformats.org/officeDocument/2006/relationships/hyperlink" Id="rId71" Target="https://doi.org/10.1145/223904.223956" TargetMode="External" /><Relationship Type="http://schemas.openxmlformats.org/officeDocument/2006/relationships/hyperlink" Id="rId64" Target="https://doi.org/10.1145/22627.22342" TargetMode="External" /><Relationship Type="http://schemas.openxmlformats.org/officeDocument/2006/relationships/hyperlink" Id="rId60" Target="https://doi.org/10.1145/502348.502371" TargetMode="External" /><Relationship Type="http://schemas.openxmlformats.org/officeDocument/2006/relationships/hyperlink" Id="rId77" Target="https://doi.org/10.32614/RJ-2018-009" TargetMode="External" /><Relationship Type="http://schemas.openxmlformats.org/officeDocument/2006/relationships/hyperlink" Id="rId86" Target="https://wilkelab.org/cowplot/" TargetMode="External" /><Relationship Type="http://schemas.openxmlformats.org/officeDocument/2006/relationships/hyperlink" Id="rId99" Target="https://www.dicook.org" TargetMode="External" /><Relationship Type="http://schemas.openxmlformats.org/officeDocument/2006/relationships/hyperlink" Id="rId97" Target="https://www.michaellydeamore.com" TargetMode="External" /><Relationship Type="http://schemas.openxmlformats.org/officeDocument/2006/relationships/hyperlink" Id="rId98" Target="mailto:dicook@monash.edu" TargetMode="External" /><Relationship Type="http://schemas.openxmlformats.org/officeDocument/2006/relationships/hyperlink" Id="rId96" Target="mailto:michael.lydeamore@monash.edu" TargetMode="External" /><Relationship Type="http://schemas.openxmlformats.org/officeDocument/2006/relationships/hyperlink" Id="rId94" Target="mailto:thanhcuong10091992@gmail.com" TargetMode="External" /></Relationships>
</file>

<file path=word/_rels/footnotes.xml.rels><?xml version="1.0" encoding="UTF-8"?><Relationships xmlns="http://schemas.openxmlformats.org/package/2006/relationships"><Relationship Type="http://schemas.openxmlformats.org/officeDocument/2006/relationships/hyperlink" Id="rId73" Target="http://jmlr.org/papers/v9/vandermaaten08a.html" TargetMode="External" /><Relationship Type="http://schemas.openxmlformats.org/officeDocument/2006/relationships/hyperlink" Id="rId95" Target="https://alex-nguyen-vn.github.io" TargetMode="External" /><Relationship Type="http://schemas.openxmlformats.org/officeDocument/2006/relationships/hyperlink" Id="rId75" Target="https://arxiv.org/abs/1802.03426" TargetMode="External" /><Relationship Type="http://schemas.openxmlformats.org/officeDocument/2006/relationships/hyperlink" Id="rId69" Target="https://arxiv.org/abs/2009.10979" TargetMode="External" /><Relationship Type="http://schemas.openxmlformats.org/officeDocument/2006/relationships/hyperlink" Id="rId84" Target="https://doi.org/10.1007/978-3-319-24277-4" TargetMode="External" /><Relationship Type="http://schemas.openxmlformats.org/officeDocument/2006/relationships/hyperlink" Id="rId88" Target="https://doi.org/10.1007/978-3-642-10601-9_11" TargetMode="External" /><Relationship Type="http://schemas.openxmlformats.org/officeDocument/2006/relationships/hyperlink" Id="rId90" Target="https://doi.org/10.1007/978-3-642-29934-6_2" TargetMode="External" /><Relationship Type="http://schemas.openxmlformats.org/officeDocument/2006/relationships/hyperlink" Id="rId66" Target="https://doi.org/10.1073/pnas.0400280101" TargetMode="External" /><Relationship Type="http://schemas.openxmlformats.org/officeDocument/2006/relationships/hyperlink" Id="rId79" Target="https://doi.org/10.1145/142750.142763" TargetMode="External" /><Relationship Type="http://schemas.openxmlformats.org/officeDocument/2006/relationships/hyperlink" Id="rId62" Target="https://doi.org/10.1145/1456650.1456652" TargetMode="External" /><Relationship Type="http://schemas.openxmlformats.org/officeDocument/2006/relationships/hyperlink" Id="rId58" Target="https://doi.org/10.1145/166117.166126" TargetMode="External" /><Relationship Type="http://schemas.openxmlformats.org/officeDocument/2006/relationships/hyperlink" Id="rId81" Target="https://doi.org/10.1145/198366.198384" TargetMode="External" /><Relationship Type="http://schemas.openxmlformats.org/officeDocument/2006/relationships/hyperlink" Id="rId71" Target="https://doi.org/10.1145/223904.223956" TargetMode="External" /><Relationship Type="http://schemas.openxmlformats.org/officeDocument/2006/relationships/hyperlink" Id="rId64" Target="https://doi.org/10.1145/22627.22342" TargetMode="External" /><Relationship Type="http://schemas.openxmlformats.org/officeDocument/2006/relationships/hyperlink" Id="rId60" Target="https://doi.org/10.1145/502348.502371" TargetMode="External" /><Relationship Type="http://schemas.openxmlformats.org/officeDocument/2006/relationships/hyperlink" Id="rId77" Target="https://doi.org/10.32614/RJ-2018-009" TargetMode="External" /><Relationship Type="http://schemas.openxmlformats.org/officeDocument/2006/relationships/hyperlink" Id="rId86" Target="https://wilkelab.org/cowplot/" TargetMode="External" /><Relationship Type="http://schemas.openxmlformats.org/officeDocument/2006/relationships/hyperlink" Id="rId99" Target="https://www.dicook.org" TargetMode="External" /><Relationship Type="http://schemas.openxmlformats.org/officeDocument/2006/relationships/hyperlink" Id="rId97" Target="https://www.michaellydeamore.com" TargetMode="External" /><Relationship Type="http://schemas.openxmlformats.org/officeDocument/2006/relationships/hyperlink" Id="rId98" Target="mailto:dicook@monash.edu" TargetMode="External" /><Relationship Type="http://schemas.openxmlformats.org/officeDocument/2006/relationships/hyperlink" Id="rId96" Target="mailto:michael.lydeamore@monash.edu" TargetMode="External" /><Relationship Type="http://schemas.openxmlformats.org/officeDocument/2006/relationships/hyperlink" Id="rId94" Target="mailto:thanhcuong1009199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Focus-Glue-Context Fisheye Transformations for Spatial Visualization</dc:title>
  <dc:creator/>
  <cp:keywords/>
  <dcterms:created xsi:type="dcterms:W3CDTF">2025-10-30T06:13:36Z</dcterms:created>
  <dcterms:modified xsi:type="dcterms:W3CDTF">2025-10-30T06:13:36Z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Fisheye views magnify local detail while preserving context, yet projection-aware, scriptable tools for R spatial analysis remain limited. mapycusmaximus introduces a Focus–Glue–Context (FGC) fisheye transform for numeric coordinates and sf geometries. Acting radially around a chosen center, the transform defines a magnified focus (r_in), a smooth transitional glue zone (r_out), and a fixed exterior. Distances expand or compress via a zoom factor and a power-law squeeze, with an optional angular twist that enhances continuity. The method is projection-conscious: lon/lat inputs are reprojected to suitable CRSs (e.g., GDA2020/MGA55), normalized for stable parameter control, and restored afterward. A geometry-safe engine (st_transform_custom) supports all feature types, maintaining ring closure and metadata. The high-level sf_fisheye() integrates with tidyverse, ggplot2, and Shiny, with built-in datasets and tests ensuring reproducibility. By coupling coherent radial warps with tidy, CRS-aware workflows, mapycusmaximus enables spatial exploration that emphasizes local structure without losing global context.</vt:lpwstr>
  </property>
  <property fmtid="{D5CDD505-2E9C-101B-9397-08002B2CF9AE}" pid="3" name="bibliography">
    <vt:lpwstr>paper-mapycusmaximus.bib</vt:lpwstr>
  </property>
  <property fmtid="{D5CDD505-2E9C-101B-9397-08002B2CF9AE}" pid="4" name="date">
    <vt:lpwstr>2025-10-30</vt:lpwstr>
  </property>
  <property fmtid="{D5CDD505-2E9C-101B-9397-08002B2CF9AE}" pid="5" name="draft">
    <vt:lpwstr>True</vt:lpwstr>
  </property>
  <property fmtid="{D5CDD505-2E9C-101B-9397-08002B2CF9AE}" pid="6" name="output">
    <vt:lpwstr/>
  </property>
  <property fmtid="{D5CDD505-2E9C-101B-9397-08002B2CF9AE}" pid="7" name="type">
    <vt:lpwstr>package</vt:lpwstr>
  </property>
</Properties>
</file>