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73.png" ContentType="image/png"/>
  <Override PartName="/word/media/rId65.png" ContentType="image/png"/>
  <Override PartName="/word/media/rId77.png" ContentType="image/png"/>
  <Override PartName="/word/media/rId25.png" ContentType="image/png"/>
  <Override PartName="/word/media/rId70.png" ContentType="image/png"/>
  <Override PartName="/word/media/rId59.png" ContentType="image/png"/>
  <Override PartName="/word/media/rId21.png" ContentType="image/png"/>
  <Override PartName="/word/media/rId38.png" ContentType="image/png"/>
  <Override PartName="/word/media/rId6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69"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w:t>
      </w:r>
      <w:r>
        <w:br/>
      </w:r>
      <w:r>
        <w:rPr>
          <w:rStyle w:val="VerbatimChar"/>
        </w:rPr>
        <w:t xml:space="preserve">## [4] "original_radius"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the default value is GDA2020 /; otherwise a</w:t>
      </w:r>
      <w:r>
        <w:t xml:space="preserve"> </w:t>
      </w:r>
      <w:r>
        <w:t xml:space="preserve">UTM zone is inferred by longitude and hemisphere. This choice ensures the fisheye operates in metric units with bounded distortion across the extent of interest. The</w:t>
      </w:r>
      <w:r>
        <w:t xml:space="preserve"> </w:t>
      </w:r>
      <w:r>
        <w:rPr>
          <w:rStyle w:val="VerbatimChar"/>
        </w:rPr>
        <w:t xml:space="preserve">preserve_aspect</w:t>
      </w:r>
      <w:r>
        <w:t xml:space="preserve"> </w:t>
      </w:r>
      <w:r>
        <w:t xml:space="preserve">flag governs 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 scaling preserves circular symmetry of the focus and glue; per-axis scaling yields an ellipticalinterpretation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68"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5</m:t>
        </m:r>
        <m:r>
          <m:rPr>
            <m:nor/>
            <m:sty m:val="p"/>
          </m:rPr>
          <m:t>–</m:t>
        </m:r>
        <m:r>
          <m:t>10</m:t>
        </m:r>
      </m:oMath>
      <w:r>
        <w:t xml:space="preserve"> </w:t>
      </w:r>
      <w:r>
        <w:t xml:space="preserve">provides visible enlargement</w:t>
      </w:r>
      <w:r>
        <w:t xml:space="preserve"> </w:t>
      </w:r>
      <w:r>
        <w:t xml:space="preserve">without overwhelming the transition.</w:t>
      </w:r>
    </w:p>
    <w:p>
      <w:pPr>
        <w:pStyle w:val="CaptionedFigure"/>
      </w:pPr>
      <w:r>
        <w:drawing>
          <wp:inline>
            <wp:extent cx="4267200" cy="3413760"/>
            <wp:effectExtent b="0" l="0" r="0" t="0"/>
            <wp:docPr descr="Zoom factors for balanced metropolitan focus within a state." title="" id="57" name="Picture"/>
            <a:graphic>
              <a:graphicData uri="http://schemas.openxmlformats.org/drawingml/2006/picture">
                <pic:pic>
                  <pic:nvPicPr>
                    <pic:cNvPr descr="paper-mapycusmaximus_files/figure-docx/zoom-factor-1.png" id="58" name="Picture"/>
                    <pic:cNvPicPr>
                      <a:picLocks noChangeArrowheads="1" noChangeAspect="1"/>
                    </pic:cNvPicPr>
                  </pic:nvPicPr>
                  <pic:blipFill>
                    <a:blip r:embed="rId5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Zoom factors for balanced metropolitan focus within a state.</w:t>
      </w:r>
    </w:p>
    <w:p>
      <w:pPr>
        <w:pStyle w:val="BodyText"/>
      </w:pPr>
      <w:r>
        <w:t xml:space="preserve">Pair this with A</w:t>
      </w:r>
      <w:r>
        <w:t xml:space="preserve"> </w:t>
      </w:r>
      <w:r>
        <w:rPr>
          <w:rStyle w:val="VerbatimChar"/>
        </w:rPr>
        <w:t xml:space="preserve">squeeze_factor</w:t>
      </w:r>
      <w:r>
        <w:t xml:space="preserve"> </w:t>
      </w:r>
      <w:r>
        <w:t xml:space="preserve">of</w:t>
      </w:r>
      <w:r>
        <w:t xml:space="preserve"> </w:t>
      </w:r>
      <m:oMath>
        <m:r>
          <m:t>0.3</m:t>
        </m:r>
        <m:r>
          <m:rPr>
            <m:nor/>
            <m:sty m:val="p"/>
          </m:rPr>
          <m:t>–</m:t>
        </m:r>
        <m:r>
          <m:t>0.5</m:t>
        </m:r>
      </m:oMath>
      <w:r>
        <w:t xml:space="preserve">,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5\text{ - }20}</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w:t>
      </w:r>
    </w:p>
    <w:p>
      <w:pPr>
        <w:pStyle w:val="CaptionedFigure"/>
      </w:pPr>
      <w:r>
        <w:drawing>
          <wp:inline>
            <wp:extent cx="4620126" cy="3696101"/>
            <wp:effectExtent b="0" l="0" r="0" t="0"/>
            <wp:docPr descr="Different method for glue compression" title="" id="60" name="Picture"/>
            <a:graphic>
              <a:graphicData uri="http://schemas.openxmlformats.org/drawingml/2006/picture">
                <pic:pic>
                  <pic:nvPicPr>
                    <pic:cNvPr descr="paper-mapycusmaximus_files/figure-docx/method-plot-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Different method for glue compression</w:t>
      </w:r>
    </w:p>
    <w:p>
      <w:pPr>
        <w:pStyle w:val="BodyText"/>
      </w:pPr>
      <w:r>
        <w:t xml:space="preserve">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w:t>
      </w:r>
    </w:p>
    <w:p>
      <w:pPr>
        <w:pStyle w:val="BodyText"/>
      </w:pPr>
      <w:r>
        <w:t xml:space="preserve">A 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 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 metric projections) and</w:t>
      </w:r>
      <w:r>
        <w:t xml:space="preserve"> </w:t>
      </w:r>
      <m:oMath>
        <m:r>
          <m:t>s</m:t>
        </m:r>
      </m:oMath>
      <w:r>
        <w:t xml:space="preserve"> </w:t>
      </w:r>
      <w:r>
        <w:t xml:space="preserve">is the larger half-span of the bbox.</w:t>
      </w:r>
    </w:p>
    <w:p>
      <w:pPr>
        <w:pStyle w:val="CaptionedFigure"/>
      </w:pPr>
      <w:r>
        <w:drawing>
          <wp:inline>
            <wp:extent cx="4620126" cy="3696101"/>
            <wp:effectExtent b="0" l="0" r="0" t="0"/>
            <wp:docPr descr="Map scale for different radii" title="" id="63" name="Picture"/>
            <a:graphic>
              <a:graphicData uri="http://schemas.openxmlformats.org/drawingml/2006/picture">
                <pic:pic>
                  <pic:nvPicPr>
                    <pic:cNvPr descr="paper-mapycusmaximus_files/figure-docx/radii-prepare-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Map scale for different radii</w:t>
      </w:r>
    </w:p>
    <w:p>
      <w:pPr>
        <w:pStyle w:val="BodyText"/>
      </w:pPr>
      <w:r>
        <w:t xml:space="preserve">This rule allows quick calibration: for a state with half-span 250 km, a desired 75 km focus corresponds to</w:t>
      </w:r>
      <w:r>
        <w:t xml:space="preserve"> </w:t>
      </w:r>
      <m:oMath>
        <m:sSub>
          <m:e>
            <m:r>
              <m:t>r</m:t>
            </m:r>
          </m:e>
          <m:sub>
            <m:r>
              <m:rPr>
                <m:nor/>
                <m:sty m:val="p"/>
              </m:rPr>
              <m:t>in</m:t>
            </m:r>
          </m:sub>
        </m:sSub>
        <m:r>
          <m:rPr>
            <m:sty m:val="p"/>
          </m:rPr>
          <m:t>≈</m:t>
        </m:r>
        <m:r>
          <m:t>0.30</m:t>
        </m:r>
      </m:oMath>
      <w:r>
        <w:t xml:space="preserve">. 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 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p>
    <w:p>
      <w:pPr>
        <w:pStyle w:val="CaptionedFigure"/>
      </w:pPr>
      <w:r>
        <w:drawing>
          <wp:inline>
            <wp:extent cx="4620126" cy="3696101"/>
            <wp:effectExtent b="0" l="0" r="0" t="0"/>
            <wp:docPr descr="Fisheye with different revolutions." title="" id="66" name="Picture"/>
            <a:graphic>
              <a:graphicData uri="http://schemas.openxmlformats.org/drawingml/2006/picture">
                <pic:pic>
                  <pic:nvPicPr>
                    <pic:cNvPr descr="paper-mapycusmaximus_files/figure-docx/fisheye-revoluti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with different revolutions.</w:t>
      </w:r>
    </w:p>
    <w:p>
      <w:pPr>
        <w:pStyle w:val="BodyText"/>
      </w:pP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 adopt</w:t>
      </w:r>
      <w:r>
        <w:t xml:space="preserve"> </w:t>
      </w:r>
      <w:r>
        <w:rPr>
          <w:rStyle w:val="VerbatimChar"/>
        </w:rPr>
        <w:t xml:space="preserve">"outward"</w:t>
      </w:r>
      <w:r>
        <w:t xml:space="preserve"> </w:t>
      </w:r>
      <w:r>
        <w:t xml:space="preserve">only when outer stability is an explicit requirement. Always annotate or at least describe the distortion in figure captions so readers do not mistake warped areas for standard</w:t>
      </w:r>
      <w:r>
        <w:t xml:space="preserve"> </w:t>
      </w:r>
      <w:r>
        <w:t xml:space="preserve">projections.</w:t>
      </w:r>
    </w:p>
    <w:bookmarkEnd w:id="68"/>
    <w:bookmarkEnd w:id="69"/>
    <w:bookmarkStart w:id="81"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to demonstrate overplotting relief and alignment across multiple layers. The second reproduces a gridded choropleth over France to show how the transform improves legibility around dense urban cores while preserving national context.</w:t>
      </w:r>
    </w:p>
    <w:bookmarkStart w:id="76"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71" name="Picture"/>
            <a:graphic>
              <a:graphicData uri="http://schemas.openxmlformats.org/drawingml/2006/picture">
                <pic:pic>
                  <pic:nvPicPr>
                    <pic:cNvPr descr="paper-mapycusmaximus_files/figure-docx/hospitals-basic-plot-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74" name="Picture"/>
            <a:graphic>
              <a:graphicData uri="http://schemas.openxmlformats.org/drawingml/2006/picture">
                <pic:pic>
                  <pic:nvPicPr>
                    <pic:cNvPr descr="paper-mapycusmaximus_files/figure-docx/fisheye-plot-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76"/>
    <w:bookmarkStart w:id="80" w:name="france-example"/>
    <w:p>
      <w:pPr>
        <w:pStyle w:val="Heading2"/>
      </w:pPr>
      <w:r>
        <w:t xml:space="preserve">France example</w:t>
      </w:r>
    </w:p>
    <w:p>
      <w:pPr>
        <w:pStyle w:val="FirstParagraph"/>
      </w:pPr>
      <w:r>
        <w:t xml:space="preserve">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78" name="Picture"/>
            <a:graphic>
              <a:graphicData uri="http://schemas.openxmlformats.org/drawingml/2006/picture">
                <pic:pic>
                  <pic:nvPicPr>
                    <pic:cNvPr descr="paper-mapycusmaximus_files/figure-docx/france-comparison-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80"/>
    <w:bookmarkEnd w:id="81"/>
    <w:bookmarkStart w:id="82"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82"/>
    <w:bookmarkStart w:id="83"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83"/>
    <w:bookmarkStart w:id="84"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84"/>
    <w:bookmarkStart w:id="117" w:name="resources"/>
    <w:p>
      <w:pPr>
        <w:pStyle w:val="Heading1"/>
      </w:pPr>
      <w:r>
        <w:t xml:space="preserve">Resources</w:t>
      </w:r>
    </w:p>
    <w:p>
      <w:pPr>
        <w:pStyle w:val="FirstParagraph"/>
      </w:pPr>
      <w:r>
        <w:t xml:space="preserve">The github link for this paper is</w:t>
      </w:r>
      <w:r>
        <w:t xml:space="preserve"> </w:t>
      </w:r>
      <w:hyperlink r:id="rId85">
        <w:r>
          <w:rPr>
            <w:rStyle w:val="Hyperlink"/>
          </w:rPr>
          <w:t xml:space="preserve">here</w:t>
        </w:r>
      </w:hyperlink>
      <w:r>
        <w:t xml:space="preserve">.</w:t>
      </w:r>
    </w:p>
    <w:p>
      <w:pPr>
        <w:pStyle w:val="BodyText"/>
      </w:pPr>
      <w:r>
        <w:t xml:space="preserve">The mapycusmaximus package is available on</w:t>
      </w:r>
      <w:r>
        <w:t xml:space="preserve"> </w:t>
      </w:r>
      <w:hyperlink r:id="rId86">
        <w:r>
          <w:rPr>
            <w:rStyle w:val="Hyperlink"/>
          </w:rPr>
          <w:t xml:space="preserve">GitHub</w:t>
        </w:r>
      </w:hyperlink>
      <w:r>
        <w:t xml:space="preserve">.</w:t>
      </w:r>
    </w:p>
    <w:p>
      <w:pPr>
        <w:pStyle w:val="BodyText"/>
      </w:pPr>
      <w:r>
        <w:t xml:space="preserve">The slideshow for this package can be found</w:t>
      </w:r>
      <w:r>
        <w:t xml:space="preserve"> </w:t>
      </w:r>
      <w:hyperlink r:id="rId87">
        <w:r>
          <w:rPr>
            <w:rStyle w:val="Hyperlink"/>
          </w:rPr>
          <w:t xml:space="preserve">here</w:t>
        </w:r>
      </w:hyperlink>
      <w:r>
        <w:t xml:space="preserve">.</w:t>
      </w:r>
    </w:p>
    <w:bookmarkStart w:id="116" w:name="refs"/>
    <w:bookmarkStart w:id="89"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88">
        <w:r>
          <w:rPr>
            <w:rStyle w:val="Hyperlink"/>
          </w:rPr>
          <w:t xml:space="preserve">https://doi.org/10.1145/166117.166126</w:t>
        </w:r>
      </w:hyperlink>
      <w:r>
        <w:t xml:space="preserve">.</w:t>
      </w:r>
    </w:p>
    <w:bookmarkEnd w:id="89"/>
    <w:bookmarkStart w:id="91"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90">
        <w:r>
          <w:rPr>
            <w:rStyle w:val="Hyperlink"/>
          </w:rPr>
          <w:t xml:space="preserve">https://doi.org/10.1145/502348.502371</w:t>
        </w:r>
      </w:hyperlink>
      <w:r>
        <w:t xml:space="preserve">.</w:t>
      </w:r>
    </w:p>
    <w:bookmarkEnd w:id="91"/>
    <w:bookmarkStart w:id="93"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92">
        <w:r>
          <w:rPr>
            <w:rStyle w:val="Hyperlink"/>
          </w:rPr>
          <w:t xml:space="preserve">https://doi.org/10.1145/1456650.1456652</w:t>
        </w:r>
      </w:hyperlink>
      <w:r>
        <w:t xml:space="preserve">.</w:t>
      </w:r>
    </w:p>
    <w:bookmarkEnd w:id="93"/>
    <w:bookmarkStart w:id="95"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94">
        <w:r>
          <w:rPr>
            <w:rStyle w:val="Hyperlink"/>
          </w:rPr>
          <w:t xml:space="preserve">https://doi.org/10.1145/22627.22342</w:t>
        </w:r>
      </w:hyperlink>
      <w:r>
        <w:t xml:space="preserve">.</w:t>
      </w:r>
    </w:p>
    <w:bookmarkEnd w:id="95"/>
    <w:bookmarkStart w:id="97"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96">
        <w:r>
          <w:rPr>
            <w:rStyle w:val="Hyperlink"/>
          </w:rPr>
          <w:t xml:space="preserve">https://doi.org/10.1073/pnas.0400280101</w:t>
        </w:r>
      </w:hyperlink>
      <w:r>
        <w:t xml:space="preserve">.</w:t>
      </w:r>
    </w:p>
    <w:bookmarkEnd w:id="97"/>
    <w:bookmarkStart w:id="98"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98"/>
    <w:bookmarkStart w:id="100"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99">
        <w:r>
          <w:rPr>
            <w:rStyle w:val="Hyperlink"/>
          </w:rPr>
          <w:t xml:space="preserve">https://doi.org/10.1145/223904.223956</w:t>
        </w:r>
      </w:hyperlink>
      <w:r>
        <w:t xml:space="preserve">.</w:t>
      </w:r>
    </w:p>
    <w:bookmarkEnd w:id="100"/>
    <w:bookmarkStart w:id="102"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101">
        <w:r>
          <w:rPr>
            <w:rStyle w:val="Hyperlink"/>
          </w:rPr>
          <w:t xml:space="preserve">https://doi.org/10.32614/RJ-2018-009</w:t>
        </w:r>
      </w:hyperlink>
      <w:r>
        <w:t xml:space="preserve">.</w:t>
      </w:r>
    </w:p>
    <w:bookmarkEnd w:id="102"/>
    <w:bookmarkStart w:id="104"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103">
        <w:r>
          <w:rPr>
            <w:rStyle w:val="Hyperlink"/>
          </w:rPr>
          <w:t xml:space="preserve">https://doi.org/10.1145/142750.142763</w:t>
        </w:r>
      </w:hyperlink>
      <w:r>
        <w:t xml:space="preserve">.</w:t>
      </w:r>
    </w:p>
    <w:bookmarkEnd w:id="104"/>
    <w:bookmarkStart w:id="106"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105">
        <w:r>
          <w:rPr>
            <w:rStyle w:val="Hyperlink"/>
          </w:rPr>
          <w:t xml:space="preserve">https://doi.org/10.1145/198366.198384</w:t>
        </w:r>
      </w:hyperlink>
      <w:r>
        <w:t xml:space="preserve">.</w:t>
      </w:r>
    </w:p>
    <w:bookmarkEnd w:id="106"/>
    <w:bookmarkStart w:id="107"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107"/>
    <w:bookmarkStart w:id="109"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108">
        <w:r>
          <w:rPr>
            <w:rStyle w:val="Hyperlink"/>
          </w:rPr>
          <w:t xml:space="preserve">https://doi.org/10.1007/978-3-319-24277-4</w:t>
        </w:r>
      </w:hyperlink>
      <w:r>
        <w:t xml:space="preserve">.</w:t>
      </w:r>
    </w:p>
    <w:bookmarkEnd w:id="109"/>
    <w:bookmarkStart w:id="111"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110">
        <w:r>
          <w:rPr>
            <w:rStyle w:val="Hyperlink"/>
          </w:rPr>
          <w:t xml:space="preserve">https://wilkelab.org/cowplot/</w:t>
        </w:r>
      </w:hyperlink>
      <w:r>
        <w:t xml:space="preserve">.</w:t>
      </w:r>
    </w:p>
    <w:bookmarkEnd w:id="111"/>
    <w:bookmarkStart w:id="113"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12">
        <w:r>
          <w:rPr>
            <w:rStyle w:val="Hyperlink"/>
          </w:rPr>
          <w:t xml:space="preserve">https://doi.org/10.1007/978-3-642-10601-9_11</w:t>
        </w:r>
      </w:hyperlink>
      <w:r>
        <w:t xml:space="preserve">.</w:t>
      </w:r>
    </w:p>
    <w:bookmarkEnd w:id="113"/>
    <w:bookmarkStart w:id="115"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14">
        <w:r>
          <w:rPr>
            <w:rStyle w:val="Hyperlink"/>
          </w:rPr>
          <w:t xml:space="preserve">https://doi.org/10.1007/978-3-642-29934-6_2</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19" Target="https://alex-nguyen-vn.github.io" TargetMode="External" /><Relationship Type="http://schemas.openxmlformats.org/officeDocument/2006/relationships/hyperlink" Id="rId108" Target="https://doi.org/10.1007/978-3-319-24277-4" TargetMode="External" /><Relationship Type="http://schemas.openxmlformats.org/officeDocument/2006/relationships/hyperlink" Id="rId112" Target="https://doi.org/10.1007/978-3-642-10601-9_11" TargetMode="External" /><Relationship Type="http://schemas.openxmlformats.org/officeDocument/2006/relationships/hyperlink" Id="rId114" Target="https://doi.org/10.1007/978-3-642-29934-6_2" TargetMode="External" /><Relationship Type="http://schemas.openxmlformats.org/officeDocument/2006/relationships/hyperlink" Id="rId96" Target="https://doi.org/10.1073/pnas.0400280101" TargetMode="External" /><Relationship Type="http://schemas.openxmlformats.org/officeDocument/2006/relationships/hyperlink" Id="rId103" Target="https://doi.org/10.1145/142750.142763" TargetMode="External" /><Relationship Type="http://schemas.openxmlformats.org/officeDocument/2006/relationships/hyperlink" Id="rId92" Target="https://doi.org/10.1145/1456650.1456652" TargetMode="External" /><Relationship Type="http://schemas.openxmlformats.org/officeDocument/2006/relationships/hyperlink" Id="rId88" Target="https://doi.org/10.1145/166117.166126" TargetMode="External" /><Relationship Type="http://schemas.openxmlformats.org/officeDocument/2006/relationships/hyperlink" Id="rId105" Target="https://doi.org/10.1145/198366.198384" TargetMode="External" /><Relationship Type="http://schemas.openxmlformats.org/officeDocument/2006/relationships/hyperlink" Id="rId99" Target="https://doi.org/10.1145/223904.223956" TargetMode="External" /><Relationship Type="http://schemas.openxmlformats.org/officeDocument/2006/relationships/hyperlink" Id="rId94" Target="https://doi.org/10.1145/22627.22342" TargetMode="External" /><Relationship Type="http://schemas.openxmlformats.org/officeDocument/2006/relationships/hyperlink" Id="rId90" Target="https://doi.org/10.1145/502348.502371" TargetMode="External" /><Relationship Type="http://schemas.openxmlformats.org/officeDocument/2006/relationships/hyperlink" Id="rId101" Target="https://doi.org/10.32614/RJ-2018-009" TargetMode="External" /><Relationship Type="http://schemas.openxmlformats.org/officeDocument/2006/relationships/hyperlink" Id="rId87" Target="https://github.com/Alex-Nguyen-VN/Talk/tree/main/mapycus-slide" TargetMode="External" /><Relationship Type="http://schemas.openxmlformats.org/officeDocument/2006/relationships/hyperlink" Id="rId86" Target="https://github.com/Alex-Nguyen-VN/mapycusmaximus" TargetMode="External" /><Relationship Type="http://schemas.openxmlformats.org/officeDocument/2006/relationships/hyperlink" Id="rId85" Target="https://github.com/Alex-Nguyen-VN/paper-mapycusmaximus" TargetMode="External" /><Relationship Type="http://schemas.openxmlformats.org/officeDocument/2006/relationships/hyperlink" Id="rId110" Target="https://wilkelab.org/cowplot/" TargetMode="External" /><Relationship Type="http://schemas.openxmlformats.org/officeDocument/2006/relationships/hyperlink" Id="rId123" Target="https://www.dicook.org" TargetMode="External" /><Relationship Type="http://schemas.openxmlformats.org/officeDocument/2006/relationships/hyperlink" Id="rId121" Target="https://www.michaellydeamore.com" TargetMode="External" /><Relationship Type="http://schemas.openxmlformats.org/officeDocument/2006/relationships/hyperlink" Id="rId122" Target="mailto:dicook@monash.edu" TargetMode="External" /><Relationship Type="http://schemas.openxmlformats.org/officeDocument/2006/relationships/hyperlink" Id="rId120" Target="mailto:michael.lydeamore@monash.edu" TargetMode="External" /><Relationship Type="http://schemas.openxmlformats.org/officeDocument/2006/relationships/hyperlink" Id="rId118"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2025-11-03T07:15:20Z</dcterms:created>
  <dcterms:modified xsi:type="dcterms:W3CDTF">2025-11-03T07:15:20Z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