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urtName"/>
        <w:keepNext/>
      </w:pPr>
      <w:r>
        <w:rPr>
          <w:rFonts w:ascii="Times New Roman" w:hAnsi="Times New Roman" w:eastAsia="Times New Roman" w:cs="Times New Roman"/>
          <w:b/>
          <w:i w:val="0"/>
          <w:color w:val="000000"/>
          <w:sz w:val="25"/>
        </w:rPr>
        <w:t>SUPREME COURT OF THE UNITED STATES</w:t>
      </w:r>
    </w:p>
    <w:p>
      <w:pPr>
        <w:pStyle w:val="Jurisdiction"/>
        <w:keepNext/>
      </w:pPr>
      <w:r>
        <w:rPr>
          <w:rFonts w:ascii="New Century Schoolbook" w:hAnsi="New Century Schoolbook" w:eastAsia="New Century Schoolbook" w:cs="New Century Schoolbook"/>
          <w:b w:val="0"/>
          <w:i w:val="0"/>
          <w:color w:val="000000"/>
          <w:sz w:val="17"/>
        </w:rPr>
        <w:t>Syllabus</w:t>
      </w:r>
    </w:p>
    <w:p>
      <w:pPr>
        <w:pStyle w:val="Caption"/>
        <w:keepNext/>
      </w:pPr>
      <w:r>
        <w:rPr>
          <w:rFonts w:ascii="New Century Schoolbook" w:hAnsi="New Century Schoolbook" w:eastAsia="New Century Schoolbook" w:cs="New Century Schoolbook"/>
          <w:b w:val="0"/>
          <w:i w:val="0"/>
          <w:color w:val="000000"/>
          <w:sz w:val="22"/>
          <w:smallCaps w:val="1"/>
        </w:rPr>
        <w:t xml:space="preserve">Central Bank of Denver, N. A. </w:t>
      </w:r>
      <w:r>
        <w:rPr>
          <w:rFonts w:ascii="New Century Schoolbook" w:hAnsi="New Century Schoolbook" w:eastAsia="New Century Schoolbook" w:cs="New Century Schoolbook"/>
          <w:b w:val="0"/>
          <w:i/>
          <w:color w:val="000000"/>
          <w:sz w:val="22"/>
        </w:rPr>
        <w:t>v.</w:t>
      </w:r>
      <w:r>
        <w:rPr>
          <w:rFonts w:ascii="New Century Schoolbook" w:hAnsi="New Century Schoolbook" w:eastAsia="New Century Schoolbook" w:cs="New Century Schoolbook"/>
          <w:b w:val="0"/>
          <w:i w:val="0"/>
          <w:color w:val="000000"/>
          <w:sz w:val="22"/>
          <w:smallCaps w:val="1"/>
        </w:rPr>
        <w:t xml:space="preserve"> First Interstate Bank of Denver, N. A.,</w:t>
      </w:r>
    </w:p>
    <w:p>
      <w:pPr>
        <w:pStyle w:val="Caption"/>
        <w:keepNext/>
      </w:pPr>
      <w:r>
        <w:rPr>
          <w:rFonts w:ascii="New Century Schoolbook" w:hAnsi="New Century Schoolbook" w:eastAsia="New Century Schoolbook" w:cs="New Century Schoolbook"/>
          <w:b w:val="0"/>
          <w:i w:val="0"/>
          <w:color w:val="000000"/>
          <w:sz w:val="22"/>
          <w:smallCaps w:val="1"/>
        </w:rPr>
        <w:t>et al.</w:t>
      </w:r>
    </w:p>
    <w:p>
      <w:pPr>
        <w:pStyle w:val="Jurisdiction"/>
        <w:keepNext/>
      </w:pPr>
      <w:r>
        <w:rPr>
          <w:rFonts w:ascii="New Century Schoolbook" w:hAnsi="New Century Schoolbook" w:eastAsia="New Century Schoolbook" w:cs="New Century Schoolbook"/>
          <w:b w:val="0"/>
          <w:i w:val="0"/>
          <w:color w:val="000000"/>
          <w:sz w:val="17"/>
          <w:smallCaps w:val="1"/>
        </w:rPr>
        <w:t>Certiorari To The United States Court Of Appeals For The Tenth Circuit</w:t>
      </w:r>
    </w:p>
    <w:p>
      <w:pPr>
        <w:pStyle w:val="Jurisdiction"/>
        <w:keepNext/>
        <w:spacing w:after="150"/>
      </w:pPr>
      <w:r>
        <w:rPr>
          <w:rFonts w:ascii="New Century Schoolbook" w:hAnsi="New Century Schoolbook" w:eastAsia="New Century Schoolbook" w:cs="New Century Schoolbook"/>
          <w:b w:val="0"/>
          <w:i w:val="0"/>
          <w:color w:val="000000"/>
          <w:sz w:val="17"/>
        </w:rPr>
        <w:t>No. 92–854. Argued November 30, 1993; Decided April 19, 1994</w:t>
      </w:r>
    </w:p>
    <w:p>
      <w:pPr>
        <w:pStyle w:val="CounselSmall"/>
        <w:keepNext w:val="0"/>
        <w:keepLines w:val="0"/>
        <w:spacing w:after="150"/>
        <w:ind w:firstLine="0"/>
      </w:pPr>
      <w:r>
        <w:rPr>
          <w:rFonts w:ascii="New Century Schoolbook" w:hAnsi="New Century Schoolbook" w:eastAsia="New Century Schoolbook" w:cs="New Century Schoolbook"/>
          <w:b w:val="0"/>
          <w:i w:val="0"/>
          <w:color w:val="000000"/>
          <w:sz w:val="15"/>
        </w:rPr>
        <w:t xml:space="preserve">The syllabus constitutes no part of the opinion of the Court but has been prepared by the Reporter of Decisions for the convenience of the reader. See </w:t>
      </w:r>
      <w:r>
        <w:rPr>
          <w:rFonts w:ascii="New Century Schoolbook" w:hAnsi="New Century Schoolbook" w:eastAsia="New Century Schoolbook" w:cs="New Century Schoolbook"/>
          <w:b w:val="0"/>
          <w:i/>
          <w:color w:val="000000"/>
          <w:sz w:val="15"/>
        </w:rPr>
        <w:t>United States v. Detroit Timber &amp; Lumber Co.</w:t>
      </w:r>
      <w:r>
        <w:rPr>
          <w:rFonts w:ascii="New Century Schoolbook" w:hAnsi="New Century Schoolbook" w:eastAsia="New Century Schoolbook" w:cs="New Century Schoolbook"/>
          <w:b w:val="0"/>
          <w:i w:val="0"/>
          <w:color w:val="000000"/>
          <w:sz w:val="15"/>
        </w:rPr>
        <w:t>, 200 U. S. 321, 337.</w:t>
      </w:r>
    </w:p>
    <w:p>
      <w:pPr>
        <w:pStyle w:val="SyllabusBody"/>
        <w:keepNext w:val="0"/>
        <w:keepLines w:val="0"/>
      </w:pPr>
      <w:r>
        <w:rPr>
          <w:rFonts w:ascii="New Century Schoolbook" w:hAnsi="New Century Schoolbook" w:eastAsia="New Century Schoolbook" w:cs="New Century Schoolbook"/>
          <w:b w:val="0"/>
          <w:i w:val="0"/>
          <w:color w:val="000000"/>
          <w:sz w:val="18"/>
        </w:rPr>
        <w:t>Petitioner Central Bank served as indenture trustee for two issues of bonds secured by landowner assessment liens. The bond covenants required collateral worth at least 160% of outstanding principal and interest. Before the 1988 issue closed, an underwriter warned that the appraisal was stale and land values were declining. Central Bank’s in-house appraiser recommended an independent review. Central Bank first required one, then agreed that it could be postponed until after closing. Respondents, purchasers of $2.1 million of the bonds, alleged that other defendants violated § 10(b) of the Securities Exchange Act of 1934 and that Central Bank aided the violation. The District Court entered summary judgment for Central Bank. The Court of Appeals reversed, applying an aiding-and-abetting rule that permitted recklessness to be shown by an extreme departure from ordinary care. 969 F. 2d 891.</w:t>
      </w:r>
    </w:p>
    <w:p>
      <w:pPr>
        <w:pStyle w:val="SyllabusHolding"/>
        <w:keepNext/>
        <w:keepLines w:val="0"/>
        <w:spacing w:before="150"/>
        <w:ind w:firstLine="0"/>
      </w:pPr>
      <w:r>
        <w:rPr>
          <w:rFonts w:ascii="New Century Schoolbook" w:hAnsi="New Century Schoolbook" w:eastAsia="New Century Schoolbook" w:cs="New Century Schoolbook"/>
          <w:b w:val="0"/>
          <w:i w:val="0"/>
          <w:color w:val="000000"/>
          <w:sz w:val="18"/>
        </w:rPr>
        <w:t>Held: A private action under § 10(b) permits a confined derivative claim for knowing, material assistance to a completed primary violation. The Court of Appeals’ judgment is vacated, and the case is remanded. Pp. 168–182.</w:t>
      </w:r>
    </w:p>
    <w:p>
      <w:pPr>
        <w:pStyle w:val="SyllabusHolding"/>
        <w:keepNext w:val="0"/>
        <w:keepLines w:val="0"/>
        <w:ind w:firstLine="0"/>
      </w:pPr>
      <w:r>
        <w:rPr>
          <w:rFonts w:ascii="New Century Schoolbook" w:hAnsi="New Century Schoolbook" w:eastAsia="New Century Schoolbook" w:cs="New Century Schoolbook"/>
          <w:b w:val="0"/>
          <w:i w:val="0"/>
          <w:color w:val="000000"/>
          <w:sz w:val="18"/>
        </w:rPr>
        <w:t xml:space="preserve">(a) Section 10(b) and Rule 10b–5 contain the primary conduct prohibition. The private damages action is an established judicial construction whose incidents this Court has defined by the statutory words, structure, comparable express remedies, and settled precedent. </w:t>
      </w:r>
      <w:r>
        <w:rPr>
          <w:rFonts w:ascii="New Century Schoolbook" w:hAnsi="New Century Schoolbook" w:eastAsia="New Century Schoolbook" w:cs="New Century Schoolbook"/>
          <w:b w:val="0"/>
          <w:i/>
          <w:color w:val="000000"/>
          <w:sz w:val="18"/>
        </w:rPr>
        <w:t>Blue Chip Stamps v. Manor Drug Stores</w:t>
      </w:r>
      <w:r>
        <w:rPr>
          <w:rFonts w:ascii="New Century Schoolbook" w:hAnsi="New Century Schoolbook" w:eastAsia="New Century Schoolbook" w:cs="New Century Schoolbook"/>
          <w:b w:val="0"/>
          <w:i w:val="0"/>
          <w:color w:val="000000"/>
          <w:sz w:val="18"/>
        </w:rPr>
        <w:t xml:space="preserve">, 421 U. S. 723; </w:t>
      </w:r>
      <w:r>
        <w:rPr>
          <w:rFonts w:ascii="New Century Schoolbook" w:hAnsi="New Century Schoolbook" w:eastAsia="New Century Schoolbook" w:cs="New Century Schoolbook"/>
          <w:b w:val="0"/>
          <w:i/>
          <w:color w:val="000000"/>
          <w:sz w:val="18"/>
        </w:rPr>
        <w:t>Ernst &amp; Ernst v. Hochfelder</w:t>
      </w:r>
      <w:r>
        <w:rPr>
          <w:rFonts w:ascii="New Century Schoolbook" w:hAnsi="New Century Schoolbook" w:eastAsia="New Century Schoolbook" w:cs="New Century Schoolbook"/>
          <w:b w:val="0"/>
          <w:i w:val="0"/>
          <w:color w:val="000000"/>
          <w:sz w:val="18"/>
        </w:rPr>
        <w:t xml:space="preserve">, 425 U. S. 185; </w:t>
      </w:r>
      <w:r>
        <w:rPr>
          <w:rFonts w:ascii="New Century Schoolbook" w:hAnsi="New Century Schoolbook" w:eastAsia="New Century Schoolbook" w:cs="New Century Schoolbook"/>
          <w:b w:val="0"/>
          <w:i/>
          <w:color w:val="000000"/>
          <w:sz w:val="18"/>
        </w:rPr>
        <w:t>Herman &amp; MacLean v. Huddleston</w:t>
      </w:r>
      <w:r>
        <w:rPr>
          <w:rFonts w:ascii="New Century Schoolbook" w:hAnsi="New Century Schoolbook" w:eastAsia="New Century Schoolbook" w:cs="New Century Schoolbook"/>
          <w:b w:val="0"/>
          <w:i w:val="0"/>
          <w:color w:val="000000"/>
          <w:sz w:val="18"/>
        </w:rPr>
        <w:t xml:space="preserve">, 459 U. S. 375; </w:t>
      </w:r>
      <w:r>
        <w:rPr>
          <w:rFonts w:ascii="New Century Schoolbook" w:hAnsi="New Century Schoolbook" w:eastAsia="New Century Schoolbook" w:cs="New Century Schoolbook"/>
          <w:b w:val="0"/>
          <w:i/>
          <w:color w:val="000000"/>
          <w:sz w:val="18"/>
        </w:rPr>
        <w:t>Musick, Peeler &amp; Garrett v. Employers Ins. of Wausau</w:t>
      </w:r>
      <w:r>
        <w:rPr>
          <w:rFonts w:ascii="New Century Schoolbook" w:hAnsi="New Century Schoolbook" w:eastAsia="New Century Schoolbook" w:cs="New Century Schoolbook"/>
          <w:b w:val="0"/>
          <w:i w:val="0"/>
          <w:color w:val="000000"/>
          <w:sz w:val="18"/>
        </w:rPr>
        <w:t>, 508 U. S. 286. The express actions identify primary defendants for particular documents or transactions. Section 20(a) addresses control. Those provisions are important limits and analogues, but they do not command abolition of the settled rule assigning derivative responsibility for knowing, material assistance to a completed § 10(b) fraud. Pp. 168–174.</w:t>
      </w:r>
    </w:p>
    <w:p>
      <w:pPr>
        <w:pStyle w:val="SyllabusHolding"/>
        <w:keepNext w:val="0"/>
        <w:keepLines w:val="0"/>
        <w:ind w:firstLine="0"/>
      </w:pPr>
      <w:r>
        <w:rPr>
          <w:rFonts w:ascii="New Century Schoolbook" w:hAnsi="New Century Schoolbook" w:eastAsia="New Century Schoolbook" w:cs="New Century Schoolbook"/>
          <w:b w:val="0"/>
          <w:i w:val="0"/>
          <w:color w:val="000000"/>
          <w:sz w:val="18"/>
        </w:rPr>
        <w:t>(b) By 1994, every regional Court of Appeals squarely confronting the question had recognized private aiding-and-abetting liability, although the courts differed about its scope. A substantial body of such decisions existed when Congress undertook the comprehensive Securities Acts Amendments of 1975. Congress did not reenact § 10(b), and silence alone does not enact a cause of action. The history is nevertheless relevant confirmation when this Court defines an incident of an action already recognized and repeatedly delimited. The Commission’s enforcement experience also confirms that the claim is administrable, but does not control its private-law boundaries. Neither 18 U. S. C. § 2 nor a later statute supplies the civil rule. Pp. 174–177.</w:t>
      </w:r>
    </w:p>
    <w:p>
      <w:pPr>
        <w:pStyle w:val="SyllabusHolding"/>
        <w:keepNext w:val="0"/>
        <w:keepLines w:val="0"/>
        <w:ind w:firstLine="0"/>
      </w:pPr>
      <w:r>
        <w:rPr>
          <w:rFonts w:ascii="New Century Schoolbook" w:hAnsi="New Century Schoolbook" w:eastAsia="New Century Schoolbook" w:cs="New Century Schoolbook"/>
          <w:b w:val="0"/>
          <w:i w:val="0"/>
          <w:color w:val="000000"/>
          <w:sz w:val="18"/>
        </w:rPr>
        <w:t>(c) The plaintiff must prove: a completed primary § 10(b) violation; the secondary defendant’s knowledge of that violation or conscious recklessness approaching actual knowledge; and substantial assistance that materially facilitated the violation. Negligence and an extreme departure from ordinary care are insufficient. Where assistance consists of silence or inaction, the plaintiff must identify a defined, transaction-specific responsibility to act. Professional status, size, access to information, association with the primary actor, or the ability to prevent the fraud cannot replace an element. The plaintiff retains the burden on the primary violation, secondary scienter, assistance, reliance upon the primary deception, causation, and damages. Pp. 177–180.</w:t>
      </w:r>
    </w:p>
    <w:p>
      <w:pPr>
        <w:pStyle w:val="SyllabusHolding"/>
        <w:keepNext w:val="0"/>
        <w:keepLines w:val="0"/>
        <w:ind w:firstLine="0"/>
      </w:pPr>
      <w:r>
        <w:rPr>
          <w:rFonts w:ascii="New Century Schoolbook" w:hAnsi="New Century Schoolbook" w:eastAsia="New Century Schoolbook" w:cs="New Century Schoolbook"/>
          <w:b w:val="0"/>
          <w:i w:val="0"/>
          <w:color w:val="000000"/>
          <w:sz w:val="18"/>
        </w:rPr>
        <w:t>(d) The Court of Appeals correctly declined to abolish derivative liability, but applied too broad a conception of recklessness. Knowledge that an appraisal may be stale or optimistic is not, without more, knowledge of a primary securities fraud. If Central Bank’s agreement to postpone review is alleged as affirmative assistance, no independent duty is a categorical prerequisite, but knowledge and material facilitation remain essential. If the theory is failure to insist, disclose, or act, respondents must identify the required transaction-specific responsibility. The record permits competing inferences that this Court does not resolve. No primary-liability theory is decided. Pp. 180–182.</w:t>
      </w:r>
    </w:p>
    <w:p>
      <w:pPr>
        <w:pStyle w:val="SyllabusBody"/>
        <w:keepNext/>
        <w:keepLines w:val="0"/>
        <w:spacing w:before="150"/>
        <w:ind w:firstLine="0"/>
      </w:pPr>
      <w:r>
        <w:rPr>
          <w:rFonts w:ascii="New Century Schoolbook" w:hAnsi="New Century Schoolbook" w:eastAsia="New Century Schoolbook" w:cs="New Century Schoolbook"/>
          <w:b w:val="0"/>
          <w:i w:val="0"/>
          <w:color w:val="000000"/>
          <w:sz w:val="18"/>
        </w:rPr>
        <w:t>969 F. 2d 891, vacated and remanded.</w:t>
      </w:r>
    </w:p>
    <w:p>
      <w:pPr>
        <w:pStyle w:val="SyllabusBody"/>
        <w:keepLines/>
        <w:ind w:firstLine="0"/>
      </w:pPr>
      <w:r>
        <w:rPr>
          <w:rFonts w:ascii="New Century Schoolbook" w:hAnsi="New Century Schoolbook" w:eastAsia="New Century Schoolbook" w:cs="New Century Schoolbook"/>
          <w:b w:val="0"/>
          <w:i w:val="0"/>
          <w:color w:val="000000"/>
          <w:sz w:val="18"/>
          <w:smallCaps w:val="1"/>
        </w:rPr>
        <w:t>Stone-Zsela, C. J.,</w:t>
      </w:r>
      <w:r>
        <w:rPr>
          <w:rFonts w:ascii="New Century Schoolbook" w:hAnsi="New Century Schoolbook" w:eastAsia="New Century Schoolbook" w:cs="New Century Schoolbook"/>
          <w:b w:val="0"/>
          <w:i w:val="0"/>
          <w:color w:val="000000"/>
          <w:sz w:val="18"/>
        </w:rPr>
        <w:t xml:space="preserve"> delivered the opinion of the Court, in which </w:t>
      </w:r>
      <w:r>
        <w:rPr>
          <w:rFonts w:ascii="New Century Schoolbook" w:hAnsi="New Century Schoolbook" w:eastAsia="New Century Schoolbook" w:cs="New Century Schoolbook"/>
          <w:b w:val="0"/>
          <w:i w:val="0"/>
          <w:color w:val="000000"/>
          <w:sz w:val="18"/>
          <w:smallCaps w:val="1"/>
        </w:rPr>
        <w:t>Blackmun, Stevens, Souter, and Ginsburg, JJ.,</w:t>
      </w:r>
      <w:r>
        <w:rPr>
          <w:rFonts w:ascii="New Century Schoolbook" w:hAnsi="New Century Schoolbook" w:eastAsia="New Century Schoolbook" w:cs="New Century Schoolbook"/>
          <w:b w:val="0"/>
          <w:i w:val="0"/>
          <w:color w:val="000000"/>
          <w:sz w:val="18"/>
        </w:rPr>
        <w:t xml:space="preserve"> joined. </w:t>
      </w:r>
      <w:r>
        <w:rPr>
          <w:rFonts w:ascii="New Century Schoolbook" w:hAnsi="New Century Schoolbook" w:eastAsia="New Century Schoolbook" w:cs="New Century Schoolbook"/>
          <w:b w:val="0"/>
          <w:i w:val="0"/>
          <w:color w:val="000000"/>
          <w:sz w:val="18"/>
          <w:smallCaps w:val="1"/>
        </w:rPr>
        <w:t>Kennedy, J.,</w:t>
      </w:r>
      <w:r>
        <w:rPr>
          <w:rFonts w:ascii="New Century Schoolbook" w:hAnsi="New Century Schoolbook" w:eastAsia="New Century Schoolbook" w:cs="New Century Schoolbook"/>
          <w:b w:val="0"/>
          <w:i w:val="0"/>
          <w:color w:val="000000"/>
          <w:sz w:val="18"/>
        </w:rPr>
        <w:t xml:space="preserve"> filed a dissenting opinion, in which </w:t>
      </w:r>
      <w:r>
        <w:rPr>
          <w:rFonts w:ascii="New Century Schoolbook" w:hAnsi="New Century Schoolbook" w:eastAsia="New Century Schoolbook" w:cs="New Century Schoolbook"/>
          <w:b w:val="0"/>
          <w:i w:val="0"/>
          <w:color w:val="000000"/>
          <w:sz w:val="18"/>
          <w:smallCaps w:val="1"/>
        </w:rPr>
        <w:t>O’Connor, Scalia, and Thomas, JJ.,</w:t>
      </w:r>
      <w:r>
        <w:rPr>
          <w:rFonts w:ascii="New Century Schoolbook" w:hAnsi="New Century Schoolbook" w:eastAsia="New Century Schoolbook" w:cs="New Century Schoolbook"/>
          <w:b w:val="0"/>
          <w:i w:val="0"/>
          <w:color w:val="000000"/>
          <w:sz w:val="18"/>
        </w:rPr>
        <w:t xml:space="preserve"> joined.</w:t>
      </w:r>
    </w:p>
    <w:p>
      <w:pPr>
        <w:pStyle w:val="CounselBody"/>
        <w:keepNext w:val="0"/>
        <w:keepLines w:val="0"/>
      </w:pPr>
      <w:r>
        <w:rPr>
          <w:rFonts w:ascii="New Century Schoolbook" w:hAnsi="New Century Schoolbook" w:eastAsia="New Century Schoolbook" w:cs="New Century Schoolbook"/>
          <w:b w:val="0"/>
          <w:i/>
          <w:color w:val="000000"/>
          <w:sz w:val="17"/>
        </w:rPr>
        <w:t>Tucker K. Trautman</w:t>
      </w:r>
      <w:r>
        <w:rPr>
          <w:rFonts w:ascii="New Century Schoolbook" w:hAnsi="New Century Schoolbook" w:eastAsia="New Century Schoolbook" w:cs="New Century Schoolbook"/>
          <w:b w:val="0"/>
          <w:i w:val="0"/>
          <w:color w:val="000000"/>
          <w:sz w:val="17"/>
        </w:rPr>
        <w:t xml:space="preserve"> argued the cause for petitioner. With him on the briefs was </w:t>
      </w:r>
      <w:r>
        <w:rPr>
          <w:rFonts w:ascii="New Century Schoolbook" w:hAnsi="New Century Schoolbook" w:eastAsia="New Century Schoolbook" w:cs="New Century Schoolbook"/>
          <w:b w:val="0"/>
          <w:i/>
          <w:color w:val="000000"/>
          <w:sz w:val="17"/>
        </w:rPr>
        <w:t>Van Aaron Hughes</w:t>
      </w:r>
      <w:r>
        <w:rPr>
          <w:rFonts w:ascii="New Century Schoolbook" w:hAnsi="New Century Schoolbook" w:eastAsia="New Century Schoolbook" w:cs="New Century Schoolbook"/>
          <w:b w:val="0"/>
          <w:i w:val="0"/>
          <w:color w:val="000000"/>
          <w:sz w:val="17"/>
        </w:rPr>
        <w:t>.</w:t>
      </w:r>
    </w:p>
    <w:p>
      <w:pPr>
        <w:pStyle w:val="CounselBody"/>
        <w:keepNext w:val="0"/>
        <w:keepLines w:val="0"/>
      </w:pPr>
      <w:r>
        <w:rPr>
          <w:rFonts w:ascii="New Century Schoolbook" w:hAnsi="New Century Schoolbook" w:eastAsia="New Century Schoolbook" w:cs="New Century Schoolbook"/>
          <w:b w:val="0"/>
          <w:i/>
          <w:color w:val="000000"/>
          <w:sz w:val="17"/>
        </w:rPr>
        <w:t>Miles M. Gersh</w:t>
      </w:r>
      <w:r>
        <w:rPr>
          <w:rFonts w:ascii="New Century Schoolbook" w:hAnsi="New Century Schoolbook" w:eastAsia="New Century Schoolbook" w:cs="New Century Schoolbook"/>
          <w:b w:val="0"/>
          <w:i w:val="0"/>
          <w:color w:val="000000"/>
          <w:sz w:val="17"/>
        </w:rPr>
        <w:t xml:space="preserve"> argued the cause for respondents. With him on the brief was </w:t>
      </w:r>
      <w:r>
        <w:rPr>
          <w:rFonts w:ascii="New Century Schoolbook" w:hAnsi="New Century Schoolbook" w:eastAsia="New Century Schoolbook" w:cs="New Century Schoolbook"/>
          <w:b w:val="0"/>
          <w:i/>
          <w:color w:val="000000"/>
          <w:sz w:val="17"/>
        </w:rPr>
        <w:t>James S. Helfrich</w:t>
      </w:r>
      <w:r>
        <w:rPr>
          <w:rFonts w:ascii="New Century Schoolbook" w:hAnsi="New Century Schoolbook" w:eastAsia="New Century Schoolbook" w:cs="New Century Schoolbook"/>
          <w:b w:val="0"/>
          <w:i w:val="0"/>
          <w:color w:val="000000"/>
          <w:sz w:val="17"/>
        </w:rPr>
        <w:t>.</w:t>
      </w:r>
    </w:p>
    <w:p>
      <w:pPr>
        <w:pStyle w:val="CounselBody"/>
        <w:keepNext w:val="0"/>
        <w:keepLines w:val="0"/>
      </w:pPr>
      <w:r>
        <w:rPr>
          <w:rFonts w:ascii="New Century Schoolbook" w:hAnsi="New Century Schoolbook" w:eastAsia="New Century Schoolbook" w:cs="New Century Schoolbook"/>
          <w:b w:val="0"/>
          <w:i/>
          <w:color w:val="000000"/>
          <w:sz w:val="17"/>
        </w:rPr>
        <w:t>Edwin S. Kneedler</w:t>
      </w:r>
      <w:r>
        <w:rPr>
          <w:rFonts w:ascii="New Century Schoolbook" w:hAnsi="New Century Schoolbook" w:eastAsia="New Century Schoolbook" w:cs="New Century Schoolbook"/>
          <w:b w:val="0"/>
          <w:i w:val="0"/>
          <w:color w:val="000000"/>
          <w:sz w:val="17"/>
        </w:rPr>
        <w:t xml:space="preserve"> argued the cause for the Securities and Exchange Commission as </w:t>
      </w:r>
      <w:r>
        <w:rPr>
          <w:rFonts w:ascii="New Century Schoolbook" w:hAnsi="New Century Schoolbook" w:eastAsia="New Century Schoolbook" w:cs="New Century Schoolbook"/>
          <w:b w:val="0"/>
          <w:i/>
          <w:color w:val="000000"/>
          <w:sz w:val="17"/>
        </w:rPr>
        <w:t>amicus curiae</w:t>
      </w:r>
      <w:r>
        <w:rPr>
          <w:rFonts w:ascii="New Century Schoolbook" w:hAnsi="New Century Schoolbook" w:eastAsia="New Century Schoolbook" w:cs="New Century Schoolbook"/>
          <w:b w:val="0"/>
          <w:i w:val="0"/>
          <w:color w:val="000000"/>
          <w:sz w:val="17"/>
        </w:rPr>
        <w:t xml:space="preserve"> urging affirmance. With him on the brief were </w:t>
      </w:r>
      <w:r>
        <w:rPr>
          <w:rFonts w:ascii="New Century Schoolbook" w:hAnsi="New Century Schoolbook" w:eastAsia="New Century Schoolbook" w:cs="New Century Schoolbook"/>
          <w:b w:val="0"/>
          <w:i/>
          <w:color w:val="000000"/>
          <w:sz w:val="17"/>
        </w:rPr>
        <w:t>Solicitor General Days, Paul Gonson, Jacob H. Stillman</w:t>
      </w:r>
      <w:r>
        <w:rPr>
          <w:rFonts w:ascii="New Century Schoolbook" w:hAnsi="New Century Schoolbook" w:eastAsia="New Century Schoolbook" w:cs="New Century Schoolbook"/>
          <w:b w:val="0"/>
          <w:i w:val="0"/>
          <w:color w:val="000000"/>
          <w:sz w:val="17"/>
        </w:rPr>
        <w:t xml:space="preserve">, and </w:t>
      </w:r>
      <w:r>
        <w:rPr>
          <w:rFonts w:ascii="New Century Schoolbook" w:hAnsi="New Century Schoolbook" w:eastAsia="New Century Schoolbook" w:cs="New Century Schoolbook"/>
          <w:b w:val="0"/>
          <w:i/>
          <w:color w:val="000000"/>
          <w:sz w:val="17"/>
        </w:rPr>
        <w:t>Brian D. Bellardo</w:t>
      </w:r>
      <w:r>
        <w:rPr>
          <w:rFonts w:ascii="New Century Schoolbook" w:hAnsi="New Century Schoolbook" w:eastAsia="New Century Schoolbook" w:cs="New Century Schoolbook"/>
          <w:b w:val="0"/>
          <w:i w:val="0"/>
          <w:color w:val="000000"/>
          <w:sz w:val="17"/>
        </w:rPr>
        <w:t>.*</w:t>
      </w:r>
    </w:p>
    <w:p>
      <w:pPr>
        <w:pStyle w:val="CounselSmall"/>
        <w:keepNext w:val="0"/>
        <w:keepLines w:val="0"/>
        <w:spacing w:before="100"/>
        <w:ind w:firstLine="0"/>
      </w:pPr>
      <w:r>
        <w:rPr>
          <w:rFonts w:ascii="New Century Schoolbook" w:hAnsi="New Century Schoolbook" w:eastAsia="New Century Schoolbook" w:cs="New Century Schoolbook"/>
          <w:b w:val="0"/>
          <w:i w:val="0"/>
          <w:color w:val="000000"/>
          <w:sz w:val="15"/>
        </w:rPr>
        <w:t xml:space="preserve">*A brief of </w:t>
      </w:r>
      <w:r>
        <w:rPr>
          <w:rFonts w:ascii="New Century Schoolbook" w:hAnsi="New Century Schoolbook" w:eastAsia="New Century Schoolbook" w:cs="New Century Schoolbook"/>
          <w:b w:val="0"/>
          <w:i/>
          <w:color w:val="000000"/>
          <w:sz w:val="15"/>
        </w:rPr>
        <w:t>amici curiae</w:t>
      </w:r>
      <w:r>
        <w:rPr>
          <w:rFonts w:ascii="New Century Schoolbook" w:hAnsi="New Century Schoolbook" w:eastAsia="New Century Schoolbook" w:cs="New Century Schoolbook"/>
          <w:b w:val="0"/>
          <w:i w:val="0"/>
          <w:color w:val="000000"/>
          <w:sz w:val="15"/>
        </w:rPr>
        <w:t xml:space="preserve"> urging reversal was filed for the Securities Industry Association by </w:t>
      </w:r>
      <w:r>
        <w:rPr>
          <w:rFonts w:ascii="New Century Schoolbook" w:hAnsi="New Century Schoolbook" w:eastAsia="New Century Schoolbook" w:cs="New Century Schoolbook"/>
          <w:b w:val="0"/>
          <w:i/>
          <w:color w:val="000000"/>
          <w:sz w:val="15"/>
        </w:rPr>
        <w:t>Theodore B. Olson, Theodore J. Boutrous, Jr.</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William J. Fitzpatrick</w:t>
      </w:r>
      <w:r>
        <w:rPr>
          <w:rFonts w:ascii="New Century Schoolbook" w:hAnsi="New Century Schoolbook" w:eastAsia="New Century Schoolbook" w:cs="New Century Schoolbook"/>
          <w:b w:val="0"/>
          <w:i w:val="0"/>
          <w:color w:val="000000"/>
          <w:sz w:val="15"/>
        </w:rPr>
        <w:t xml:space="preserve">. Briefs of </w:t>
      </w:r>
      <w:r>
        <w:rPr>
          <w:rFonts w:ascii="New Century Schoolbook" w:hAnsi="New Century Schoolbook" w:eastAsia="New Century Schoolbook" w:cs="New Century Schoolbook"/>
          <w:b w:val="0"/>
          <w:i/>
          <w:color w:val="000000"/>
          <w:sz w:val="15"/>
        </w:rPr>
        <w:t>amici curiae</w:t>
      </w:r>
      <w:r>
        <w:rPr>
          <w:rFonts w:ascii="New Century Schoolbook" w:hAnsi="New Century Schoolbook" w:eastAsia="New Century Schoolbook" w:cs="New Century Schoolbook"/>
          <w:b w:val="0"/>
          <w:i w:val="0"/>
          <w:color w:val="000000"/>
          <w:sz w:val="15"/>
        </w:rPr>
        <w:t xml:space="preserve"> urging affirmance were filed for the Association of the Bar of the City of New York by </w:t>
      </w:r>
      <w:r>
        <w:rPr>
          <w:rFonts w:ascii="New Century Schoolbook" w:hAnsi="New Century Schoolbook" w:eastAsia="New Century Schoolbook" w:cs="New Century Schoolbook"/>
          <w:b w:val="0"/>
          <w:i/>
          <w:color w:val="000000"/>
          <w:sz w:val="15"/>
        </w:rPr>
        <w:t>Harvey J. Goldschmid, John D. Feerick, Sheldon H. Elsen</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Jill E. Fisch</w:t>
      </w:r>
      <w:r>
        <w:rPr>
          <w:rFonts w:ascii="New Century Schoolbook" w:hAnsi="New Century Schoolbook" w:eastAsia="New Century Schoolbook" w:cs="New Century Schoolbook"/>
          <w:b w:val="0"/>
          <w:i w:val="0"/>
          <w:color w:val="000000"/>
          <w:sz w:val="15"/>
        </w:rPr>
        <w:t xml:space="preserve">; and for Trial Lawyers for Public Justice, P. C., et al. by </w:t>
      </w:r>
      <w:r>
        <w:rPr>
          <w:rFonts w:ascii="New Century Schoolbook" w:hAnsi="New Century Schoolbook" w:eastAsia="New Century Schoolbook" w:cs="New Century Schoolbook"/>
          <w:b w:val="0"/>
          <w:i/>
          <w:color w:val="000000"/>
          <w:sz w:val="15"/>
        </w:rPr>
        <w:t>Priscilla R. Budeiri</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Arthur H. Bryant</w:t>
      </w:r>
      <w:r>
        <w:rPr>
          <w:rFonts w:ascii="New Century Schoolbook" w:hAnsi="New Century Schoolbook" w:eastAsia="New Century Schoolbook" w:cs="New Century Schoolbook"/>
          <w:b w:val="0"/>
          <w:i w:val="0"/>
          <w:color w:val="000000"/>
          <w:sz w:val="15"/>
        </w:rPr>
        <w:t xml:space="preserve">. Briefs of </w:t>
      </w:r>
      <w:r>
        <w:rPr>
          <w:rFonts w:ascii="New Century Schoolbook" w:hAnsi="New Century Schoolbook" w:eastAsia="New Century Schoolbook" w:cs="New Century Schoolbook"/>
          <w:b w:val="0"/>
          <w:i/>
          <w:color w:val="000000"/>
          <w:sz w:val="15"/>
        </w:rPr>
        <w:t>amici curiae</w:t>
      </w:r>
      <w:r>
        <w:rPr>
          <w:rFonts w:ascii="New Century Schoolbook" w:hAnsi="New Century Schoolbook" w:eastAsia="New Century Schoolbook" w:cs="New Century Schoolbook"/>
          <w:b w:val="0"/>
          <w:i w:val="0"/>
          <w:color w:val="000000"/>
          <w:sz w:val="15"/>
        </w:rPr>
        <w:t xml:space="preserve"> were filed for the American Institute of Certified Public Accountants by </w:t>
      </w:r>
      <w:r>
        <w:rPr>
          <w:rFonts w:ascii="New Century Schoolbook" w:hAnsi="New Century Schoolbook" w:eastAsia="New Century Schoolbook" w:cs="New Century Schoolbook"/>
          <w:b w:val="0"/>
          <w:i/>
          <w:color w:val="000000"/>
          <w:sz w:val="15"/>
        </w:rPr>
        <w:t>Louis A. Craco, Richard I. Miller</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David P. Murray</w:t>
      </w:r>
      <w:r>
        <w:rPr>
          <w:rFonts w:ascii="New Century Schoolbook" w:hAnsi="New Century Schoolbook" w:eastAsia="New Century Schoolbook" w:cs="New Century Schoolbook"/>
          <w:b w:val="0"/>
          <w:i w:val="0"/>
          <w:color w:val="000000"/>
          <w:sz w:val="15"/>
        </w:rPr>
        <w:t xml:space="preserve">; and for the National Association of Securities and Commercial Law Attorneys by </w:t>
      </w:r>
      <w:r>
        <w:rPr>
          <w:rFonts w:ascii="New Century Schoolbook" w:hAnsi="New Century Schoolbook" w:eastAsia="New Century Schoolbook" w:cs="New Century Schoolbook"/>
          <w:b w:val="0"/>
          <w:i/>
          <w:color w:val="000000"/>
          <w:sz w:val="15"/>
        </w:rPr>
        <w:t>William S. Lerach, Leonard B. Simon, Kevin P. Roddy</w:t>
      </w:r>
      <w:r>
        <w:rPr>
          <w:rFonts w:ascii="New Century Schoolbook" w:hAnsi="New Century Schoolbook" w:eastAsia="New Century Schoolbook" w:cs="New Century Schoolbook"/>
          <w:b w:val="0"/>
          <w:i w:val="0"/>
          <w:color w:val="000000"/>
          <w:sz w:val="15"/>
        </w:rPr>
        <w:t xml:space="preserve">, and </w:t>
      </w:r>
      <w:r>
        <w:rPr>
          <w:rFonts w:ascii="New Century Schoolbook" w:hAnsi="New Century Schoolbook" w:eastAsia="New Century Schoolbook" w:cs="New Century Schoolbook"/>
          <w:b w:val="0"/>
          <w:i/>
          <w:color w:val="000000"/>
          <w:sz w:val="15"/>
        </w:rPr>
        <w:t>Paul F. Bennett</w:t>
      </w:r>
      <w:r>
        <w:rPr>
          <w:rFonts w:ascii="New Century Schoolbook" w:hAnsi="New Century Schoolbook" w:eastAsia="New Century Schoolbook" w:cs="New Century Schoolbook"/>
          <w:b w:val="0"/>
          <w:i w:val="0"/>
          <w:color w:val="000000"/>
          <w:sz w:val="15"/>
        </w:rPr>
        <w:t>.</w:t>
      </w:r>
    </w:p>
    <w:p>
      <w:pPr>
        <w:sectPr>
          <w:headerReference w:type="first" r:id="rId9"/>
          <w:headerReference w:type="default" r:id="rId10"/>
          <w:headerReference w:type="even" r:id="rId11"/>
          <w:footerReference w:type="first" r:id="rId12"/>
          <w:footerReference w:type="default" r:id="rId13"/>
          <w:footerReference w:type="even" r:id="rId14"/>
          <w:pgSz w:w="8640" w:h="12960"/>
          <w:pgMar w:top="1368" w:right="1440" w:bottom="1181" w:left="1440" w:header="446" w:footer="403" w:gutter="0"/>
          <w:cols w:space="720"/>
          <w:titlePg/>
          <w:docGrid w:linePitch="360"/>
          <w:pgNumType w:start="164"/>
        </w:sectPr>
      </w:pPr>
    </w:p>
    <w:p>
      <w:pPr>
        <w:pStyle w:val="CourtName"/>
        <w:keepNext/>
      </w:pPr>
      <w:r>
        <w:rPr>
          <w:rFonts w:ascii="Times New Roman" w:hAnsi="Times New Roman" w:eastAsia="Times New Roman" w:cs="Times New Roman"/>
          <w:b/>
          <w:i w:val="0"/>
          <w:color w:val="000000"/>
          <w:sz w:val="25"/>
        </w:rPr>
        <w:t>SUPREME COURT OF THE UNITED STATES</w:t>
      </w:r>
    </w:p>
    <w:p>
      <w:pPr>
        <w:pStyle w:val="Jurisdiction"/>
        <w:keepNext/>
      </w:pPr>
      <w:r>
        <w:rPr>
          <w:rFonts w:ascii="New Century Schoolbook" w:hAnsi="New Century Schoolbook" w:eastAsia="New Century Schoolbook" w:cs="New Century Schoolbook"/>
          <w:b w:val="0"/>
          <w:i w:val="0"/>
          <w:color w:val="000000"/>
          <w:sz w:val="17"/>
        </w:rPr>
        <w:t>No. 92–854</w:t>
      </w:r>
    </w:p>
    <w:p>
      <w:pPr>
        <w:pStyle w:val="Caption"/>
        <w:keepNext/>
      </w:pPr>
      <w:r>
        <w:rPr>
          <w:rFonts w:ascii="New Century Schoolbook" w:hAnsi="New Century Schoolbook" w:eastAsia="New Century Schoolbook" w:cs="New Century Schoolbook"/>
          <w:b w:val="0"/>
          <w:i w:val="0"/>
          <w:color w:val="000000"/>
          <w:sz w:val="22"/>
          <w:smallCaps w:val="1"/>
        </w:rPr>
        <w:t xml:space="preserve">Central Bank of Denver, N. A. </w:t>
      </w:r>
      <w:r>
        <w:rPr>
          <w:rFonts w:ascii="New Century Schoolbook" w:hAnsi="New Century Schoolbook" w:eastAsia="New Century Schoolbook" w:cs="New Century Schoolbook"/>
          <w:b w:val="0"/>
          <w:i/>
          <w:color w:val="000000"/>
          <w:sz w:val="22"/>
        </w:rPr>
        <w:t>v.</w:t>
      </w:r>
      <w:r>
        <w:rPr>
          <w:rFonts w:ascii="New Century Schoolbook" w:hAnsi="New Century Schoolbook" w:eastAsia="New Century Schoolbook" w:cs="New Century Schoolbook"/>
          <w:b w:val="0"/>
          <w:i w:val="0"/>
          <w:color w:val="000000"/>
          <w:sz w:val="22"/>
          <w:smallCaps w:val="1"/>
        </w:rPr>
        <w:t xml:space="preserve"> First Interstate Bank of Denver, N. A.,</w:t>
      </w:r>
    </w:p>
    <w:p>
      <w:pPr>
        <w:pStyle w:val="Caption"/>
        <w:keepNext/>
      </w:pPr>
      <w:r>
        <w:rPr>
          <w:rFonts w:ascii="New Century Schoolbook" w:hAnsi="New Century Schoolbook" w:eastAsia="New Century Schoolbook" w:cs="New Century Schoolbook"/>
          <w:b w:val="0"/>
          <w:i w:val="0"/>
          <w:color w:val="000000"/>
          <w:sz w:val="22"/>
          <w:smallCaps w:val="1"/>
        </w:rPr>
        <w:t>et al.</w:t>
      </w:r>
    </w:p>
    <w:p>
      <w:pPr>
        <w:pStyle w:val="Jurisdiction"/>
        <w:keepNext/>
      </w:pPr>
      <w:r>
        <w:rPr>
          <w:rFonts w:ascii="New Century Schoolbook" w:hAnsi="New Century Schoolbook" w:eastAsia="New Century Schoolbook" w:cs="New Century Schoolbook"/>
          <w:b w:val="0"/>
          <w:i w:val="0"/>
          <w:color w:val="000000"/>
          <w:sz w:val="17"/>
          <w:smallCaps w:val="1"/>
        </w:rPr>
        <w:t>On Writ Of Certiorari To The United States Court Of Appeals For The Tenth Circuit</w:t>
      </w:r>
    </w:p>
    <w:p>
      <w:pPr>
        <w:pStyle w:val="Jurisdiction"/>
        <w:keepNext/>
        <w:spacing w:after="242"/>
      </w:pPr>
      <w:r>
        <w:rPr>
          <w:rFonts w:ascii="New Century Schoolbook" w:hAnsi="New Century Schoolbook" w:eastAsia="New Century Schoolbook" w:cs="New Century Schoolbook"/>
          <w:b w:val="0"/>
          <w:i w:val="0"/>
          <w:color w:val="000000"/>
          <w:sz w:val="17"/>
        </w:rPr>
        <w:t>[April 19, 1994]</w:t>
      </w:r>
    </w:p>
    <w:p>
      <w:pPr>
        <w:pStyle w:val="DeliveryLine"/>
        <w:keepNext/>
      </w:pPr>
      <w:r>
        <w:rPr>
          <w:rFonts w:ascii="New Century Schoolbook" w:hAnsi="New Century Schoolbook" w:eastAsia="New Century Schoolbook" w:cs="New Century Schoolbook"/>
          <w:b w:val="0"/>
          <w:i w:val="0"/>
          <w:color w:val="000000"/>
          <w:sz w:val="23"/>
          <w:smallCaps w:val="1"/>
        </w:rPr>
        <w:t>Chief Justice Stone-Zsela</w:t>
      </w:r>
      <w:r>
        <w:rPr>
          <w:rFonts w:ascii="New Century Schoolbook" w:hAnsi="New Century Schoolbook" w:eastAsia="New Century Schoolbook" w:cs="New Century Schoolbook"/>
          <w:b w:val="0"/>
          <w:i w:val="0"/>
          <w:color w:val="000000"/>
          <w:sz w:val="23"/>
        </w:rPr>
        <w:t xml:space="preserve"> delivered the opinion of the Court.</w:t>
      </w:r>
    </w:p>
    <w:p>
      <w:pPr>
        <w:pStyle w:val="OpinionBody"/>
        <w:keepNext w:val="0"/>
        <w:keepLines w:val="0"/>
      </w:pPr>
      <w:r>
        <w:rPr>
          <w:rFonts w:ascii="New Century Schoolbook" w:hAnsi="New Century Schoolbook" w:eastAsia="New Century Schoolbook" w:cs="New Century Schoolbook"/>
          <w:b w:val="0"/>
          <w:i w:val="0"/>
          <w:color w:val="000000"/>
          <w:sz w:val="23"/>
        </w:rPr>
        <w:t>Section 10(b) of the Securities Exchange Act of 1934 prohibits the use of a manipulative or deceptive device in connection with the purchase or sale of a security. The private action under that section is established, though judicially implied. The question is whether a person who does not commit the primary deception may bear derivative liability for knowingly and materially assisting a completed violation.</w:t>
      </w:r>
    </w:p>
    <w:p>
      <w:pPr>
        <w:pStyle w:val="OpinionBody"/>
        <w:keepNext w:val="0"/>
        <w:keepLines w:val="0"/>
      </w:pPr>
      <w:r>
        <w:rPr>
          <w:rFonts w:ascii="New Century Schoolbook" w:hAnsi="New Century Schoolbook" w:eastAsia="New Century Schoolbook" w:cs="New Century Schoolbook"/>
          <w:b w:val="0"/>
          <w:i w:val="0"/>
          <w:color w:val="000000"/>
          <w:sz w:val="23"/>
        </w:rPr>
        <w:t>We hold that the established action includes a confined claim of that kind. The plaintiff must prove the completed primary violation, knowledge or conscious recklessness approaching actual knowledge, and substantial assistance that materially facilitated the violation. Silence or inaction is assistance only when a defined, transaction-specific responsibility required the defendant to act. Because the Court of Appeals applied a broader conception of recklessness and did not test the record under these limits, we vacate its judgment and remand. We do not decide whether Central Bank is liable, and we express no view on any theory of primary liability.</w:t>
      </w:r>
    </w:p>
    <w:p>
      <w:pPr>
        <w:pStyle w:val="SectionHeading"/>
      </w:pPr>
      <w:r>
        <w:rPr>
          <w:rFonts w:ascii="New Century Schoolbook" w:hAnsi="New Century Schoolbook" w:eastAsia="New Century Schoolbook" w:cs="New Century Schoolbook"/>
          <w:b w:val="0"/>
          <w:i w:val="0"/>
          <w:color w:val="000000"/>
          <w:sz w:val="23"/>
        </w:rPr>
        <w:t>I</w:t>
      </w:r>
    </w:p>
    <w:p>
      <w:pPr>
        <w:pStyle w:val="OpinionBody"/>
        <w:keepNext w:val="0"/>
        <w:keepLines w:val="0"/>
      </w:pPr>
      <w:r>
        <w:rPr>
          <w:rFonts w:ascii="New Century Schoolbook" w:hAnsi="New Century Schoolbook" w:eastAsia="New Century Schoolbook" w:cs="New Century Schoolbook"/>
          <w:b w:val="0"/>
          <w:i w:val="0"/>
          <w:color w:val="000000"/>
          <w:sz w:val="23"/>
        </w:rPr>
        <w:t>In 1986 and 1988, the Colorado Springs-Stetson Hills Public Building Authority issued bonds to finance public improvements in a residential and commercial development. The issues totaled approximately $26 million; the 1988 issue was about $11 million. Petitioner Central Bank of Denver, N. A., served as indenture trustee. Assessment liens on land in the development secured the bonds. The governing covenants required collateral worth at least 160% of the outstanding principal and interest.</w:t>
      </w:r>
    </w:p>
    <w:p>
      <w:pPr>
        <w:pStyle w:val="OpinionBody"/>
        <w:keepNext w:val="0"/>
        <w:keepLines w:val="0"/>
      </w:pPr>
      <w:r>
        <w:rPr>
          <w:rFonts w:ascii="New Century Schoolbook" w:hAnsi="New Century Schoolbook" w:eastAsia="New Century Schoolbook" w:cs="New Century Schoolbook"/>
          <w:b w:val="0"/>
          <w:i w:val="0"/>
          <w:color w:val="000000"/>
          <w:sz w:val="23"/>
        </w:rPr>
        <w:t>The 1988 issue depended upon an appraisal prepared in January of that year. The appraised values were nearly unchanged from those stated in a 1986 appraisal. Before the bonds were sold, the underwriter expressed concern that land values in the area had declined and that the appraisal was more than 16 months old. Central Bank referred the matter to an in-house appraiser, who concluded that the values appeared optimistic and recommended an independent review.</w:t>
      </w:r>
    </w:p>
    <w:p>
      <w:pPr>
        <w:pStyle w:val="OpinionBody"/>
        <w:keepNext w:val="0"/>
        <w:keepLines w:val="0"/>
      </w:pPr>
      <w:r>
        <w:rPr>
          <w:rFonts w:ascii="New Century Schoolbook" w:hAnsi="New Century Schoolbook" w:eastAsia="New Century Schoolbook" w:cs="New Century Schoolbook"/>
          <w:b w:val="0"/>
          <w:i w:val="0"/>
          <w:color w:val="000000"/>
          <w:sz w:val="23"/>
        </w:rPr>
        <w:t>Central Bank initially required an independent appraisal. A letter dated March 22, 1988, advised the Authority that review was necessary to assure compliance with the 160% covenant. The Authority objected that delay would jeopardize the offering. Central Bank then agreed that the review could be postponed until the end of the year, approximately six months after the proposed June closing. It conditioned that agreement upon the addition of approximately $2 million in property to the security for the 1986 issue. The parties dispute the significance of that added collateral and of certifications supplied in connection with the 1988 closing.</w:t>
      </w:r>
    </w:p>
    <w:p>
      <w:pPr>
        <w:pStyle w:val="OpinionBody"/>
        <w:keepNext w:val="0"/>
        <w:keepLines w:val="0"/>
      </w:pPr>
      <w:r>
        <w:rPr>
          <w:rFonts w:ascii="New Century Schoolbook" w:hAnsi="New Century Schoolbook" w:eastAsia="New Century Schoolbook" w:cs="New Century Schoolbook"/>
          <w:b w:val="0"/>
          <w:i w:val="0"/>
          <w:color w:val="000000"/>
          <w:sz w:val="23"/>
        </w:rPr>
        <w:t>The independent review was not completed before the Authority defaulted. Respondents First Interstate Bank of Denver, N. A., and Jack K. Naber had purchased $2.1 million of the 1988 bonds. They brought this action against the Authority, the bonds’ underwriters, a developer, an outside appraiser, and Central Bank. The complaint alleged that the other defendants had violated § 10(b), 48 Stat. 891, 15 U. S. C. § 78j(b), and Rule 10b–5, and that Central Bank had aided and abetted those violations by delaying the independent review.</w:t>
      </w:r>
    </w:p>
    <w:p>
      <w:pPr>
        <w:pStyle w:val="OpinionBody"/>
        <w:keepNext w:val="0"/>
        <w:keepLines w:val="0"/>
      </w:pPr>
      <w:r>
        <w:rPr>
          <w:rFonts w:ascii="New Century Schoolbook" w:hAnsi="New Century Schoolbook" w:eastAsia="New Century Schoolbook" w:cs="New Century Schoolbook"/>
          <w:b w:val="0"/>
          <w:i w:val="0"/>
          <w:color w:val="000000"/>
          <w:sz w:val="23"/>
        </w:rPr>
        <w:t>The District Court granted Central Bank summary judgment. It concluded that Central Bank owed respondents no duty of disclosure under the indenture, that the evidence did not permit a finding of the scienter then required by circuit law, and that respondents had not shown substantial assistance. The claims against other defendants were resolved separately.</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Court of Appeals reversed. 969 F. 2d 891 (CA10 1992). It stated that aiding-and-abetting liability required a primary violation, the alleged aider’s knowledge or recklessness, and substantial assistance.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xml:space="preserve">, at 898. For recklessness it used a formulation extending to an extreme departure from ordinary care where the danger of misleading investors was known or so obvious that the defendant must have been aware of it.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xml:space="preserve">, at 899. The court found genuine disputes concerning Central Bank’s state of mind and treated the agreement to postpone review as affirmative assistance.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at 899–900. It therefore returned the claim for trial.</w:t>
      </w:r>
    </w:p>
    <w:p>
      <w:pPr>
        <w:pStyle w:val="OpinionBody"/>
        <w:keepNext w:val="0"/>
        <w:keepLines w:val="0"/>
      </w:pPr>
      <w:r>
        <w:rPr>
          <w:rFonts w:ascii="New Century Schoolbook" w:hAnsi="New Century Schoolbook" w:eastAsia="New Century Schoolbook" w:cs="New Century Schoolbook"/>
          <w:b w:val="0"/>
          <w:i w:val="0"/>
          <w:color w:val="000000"/>
          <w:sz w:val="23"/>
        </w:rPr>
        <w:t>We granted certiorari, 508 U. S. 959 (1993), and directed the parties to address whether a private plaintiff may maintain an aiding-and-abetting action under § 10(b) and Rule 10b–5. That threshold question cannot be answered by assuming either the lower courts’ broadest formulations or the petitioner’s premise that the absence of the words ‘aid’ and ‘abet’ ends all inquiry. The claim must be measured against the statute, its express remedies, and this Court’s decisions defining the established private action.</w:t>
      </w:r>
    </w:p>
    <w:p>
      <w:pPr>
        <w:pStyle w:val="SectionHeading"/>
      </w:pPr>
      <w:r>
        <w:rPr>
          <w:rFonts w:ascii="New Century Schoolbook" w:hAnsi="New Century Schoolbook" w:eastAsia="New Century Schoolbook" w:cs="New Century Schoolbook"/>
          <w:b w:val="0"/>
          <w:i w:val="0"/>
          <w:color w:val="000000"/>
          <w:sz w:val="23"/>
        </w:rPr>
        <w:t>II</w:t>
      </w:r>
    </w:p>
    <w:p>
      <w:pPr>
        <w:pStyle w:val="OpinionBody"/>
        <w:keepNext w:val="0"/>
        <w:keepLines w:val="0"/>
      </w:pPr>
      <w:r>
        <w:rPr>
          <w:rFonts w:ascii="New Century Schoolbook" w:hAnsi="New Century Schoolbook" w:eastAsia="New Century Schoolbook" w:cs="New Century Schoolbook"/>
          <w:b w:val="0"/>
          <w:i w:val="0"/>
          <w:color w:val="000000"/>
          <w:sz w:val="23"/>
        </w:rPr>
        <w:t>Section 10(b) provides:</w:t>
      </w:r>
    </w:p>
    <w:p>
      <w:pPr>
        <w:pStyle w:val="BlockQuote"/>
        <w:keepNext w:val="0"/>
        <w:keepLines w:val="0"/>
        <w:ind w:firstLine="0"/>
      </w:pPr>
      <w:r>
        <w:rPr>
          <w:rFonts w:ascii="New Century Schoolbook" w:hAnsi="New Century Schoolbook" w:eastAsia="New Century Schoolbook" w:cs="New Century Schoolbook"/>
          <w:b w:val="0"/>
          <w:i w:val="0"/>
          <w:color w:val="000000"/>
          <w:sz w:val="21"/>
        </w:rPr>
        <w:t>‘It shall be unlawful for any person, directly or indirectly, . . . [t]o use or employ, in connection with the purchase or sale of any security . . . any manipulative or deceptive device or contrivance in contravention of such rules and regulations as the Commission may prescribe.’ 15 U. S. C. § 78j(b).</w:t>
      </w:r>
    </w:p>
    <w:p>
      <w:pPr>
        <w:pStyle w:val="OpinionBody"/>
        <w:keepNext w:val="0"/>
        <w:keepLines w:val="0"/>
      </w:pPr>
      <w:r>
        <w:rPr>
          <w:rFonts w:ascii="New Century Schoolbook" w:hAnsi="New Century Schoolbook" w:eastAsia="New Century Schoolbook" w:cs="New Century Schoolbook"/>
          <w:b w:val="0"/>
          <w:i w:val="0"/>
          <w:color w:val="000000"/>
          <w:sz w:val="23"/>
        </w:rPr>
        <w:t>Rule 10b–5 prohibits employing a scheme to defraud, making a material misstatement or omission, and engaging in conduct that operates as a fraud upon a purchaser or seller. 17 CFR § 240.10b–5 (1993).</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words identify the primary wrong. They require manipulation or deception, not negligence or ordinary unfairness. </w:t>
      </w:r>
      <w:r>
        <w:rPr>
          <w:rFonts w:ascii="New Century Schoolbook" w:hAnsi="New Century Schoolbook" w:eastAsia="New Century Schoolbook" w:cs="New Century Schoolbook"/>
          <w:b w:val="0"/>
          <w:i/>
          <w:color w:val="000000"/>
          <w:sz w:val="23"/>
        </w:rPr>
        <w:t>Ernst &amp; Ernst v. Hochfelder</w:t>
      </w:r>
      <w:r>
        <w:rPr>
          <w:rFonts w:ascii="New Century Schoolbook" w:hAnsi="New Century Schoolbook" w:eastAsia="New Century Schoolbook" w:cs="New Century Schoolbook"/>
          <w:b w:val="0"/>
          <w:i w:val="0"/>
          <w:color w:val="000000"/>
          <w:sz w:val="23"/>
        </w:rPr>
        <w:t xml:space="preserve">, 425 U. S. 185, 193, 197–201 (1976); </w:t>
      </w:r>
      <w:r>
        <w:rPr>
          <w:rFonts w:ascii="New Century Schoolbook" w:hAnsi="New Century Schoolbook" w:eastAsia="New Century Schoolbook" w:cs="New Century Schoolbook"/>
          <w:b w:val="0"/>
          <w:i/>
          <w:color w:val="000000"/>
          <w:sz w:val="23"/>
        </w:rPr>
        <w:t>Santa Fe Industries, Inc. v. Green</w:t>
      </w:r>
      <w:r>
        <w:rPr>
          <w:rFonts w:ascii="New Century Schoolbook" w:hAnsi="New Century Schoolbook" w:eastAsia="New Century Schoolbook" w:cs="New Century Schoolbook"/>
          <w:b w:val="0"/>
          <w:i w:val="0"/>
          <w:color w:val="000000"/>
          <w:sz w:val="23"/>
        </w:rPr>
        <w:t xml:space="preserve">, 430 U. S. 462, 472–477 (1977). A private plaintiff must be an actual purchaser or seller, </w:t>
      </w:r>
      <w:r>
        <w:rPr>
          <w:rFonts w:ascii="New Century Schoolbook" w:hAnsi="New Century Schoolbook" w:eastAsia="New Century Schoolbook" w:cs="New Century Schoolbook"/>
          <w:b w:val="0"/>
          <w:i/>
          <w:color w:val="000000"/>
          <w:sz w:val="23"/>
        </w:rPr>
        <w:t>Blue Chip Stamps v. Manor Drug Stores</w:t>
      </w:r>
      <w:r>
        <w:rPr>
          <w:rFonts w:ascii="New Century Schoolbook" w:hAnsi="New Century Schoolbook" w:eastAsia="New Century Schoolbook" w:cs="New Century Schoolbook"/>
          <w:b w:val="0"/>
          <w:i w:val="0"/>
          <w:color w:val="000000"/>
          <w:sz w:val="23"/>
        </w:rPr>
        <w:t xml:space="preserve">, 421 U. S. 723, 731–737 (1975), and must prove the elements of the primary violation, including scienter, materiality, reliance, and causation. </w:t>
      </w:r>
      <w:r>
        <w:rPr>
          <w:rFonts w:ascii="New Century Schoolbook" w:hAnsi="New Century Schoolbook" w:eastAsia="New Century Schoolbook" w:cs="New Century Schoolbook"/>
          <w:b w:val="0"/>
          <w:i/>
          <w:color w:val="000000"/>
          <w:sz w:val="23"/>
        </w:rPr>
        <w:t>Hochfelder</w:t>
      </w:r>
      <w:r>
        <w:rPr>
          <w:rFonts w:ascii="New Century Schoolbook" w:hAnsi="New Century Schoolbook" w:eastAsia="New Century Schoolbook" w:cs="New Century Schoolbook"/>
          <w:b w:val="0"/>
          <w:i w:val="0"/>
          <w:color w:val="000000"/>
          <w:sz w:val="23"/>
        </w:rPr>
        <w:t xml:space="preserve">, supra; </w:t>
      </w:r>
      <w:r>
        <w:rPr>
          <w:rFonts w:ascii="New Century Schoolbook" w:hAnsi="New Century Schoolbook" w:eastAsia="New Century Schoolbook" w:cs="New Century Schoolbook"/>
          <w:b w:val="0"/>
          <w:i/>
          <w:color w:val="000000"/>
          <w:sz w:val="23"/>
        </w:rPr>
        <w:t>Basic Inc. v. Levinson</w:t>
      </w:r>
      <w:r>
        <w:rPr>
          <w:rFonts w:ascii="New Century Schoolbook" w:hAnsi="New Century Schoolbook" w:eastAsia="New Century Schoolbook" w:cs="New Century Schoolbook"/>
          <w:b w:val="0"/>
          <w:i w:val="0"/>
          <w:color w:val="000000"/>
          <w:sz w:val="23"/>
        </w:rPr>
        <w:t>, 485 U. S. 224, 243 (1988).</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text does not speak expressly of private derivative liability. Nor do the words ‘directly or indirectly,’ standing alone, answer the question. They prevent evasion of the conduct prohibition through an indirect device, but cannot by themselves define every incident of the implied damages action. The absence of an express answer is important. It does not erase the action this Court has long accepted or relieve us of the responsibility to define its limits in a manner faithful to the statute. See </w:t>
      </w:r>
      <w:r>
        <w:rPr>
          <w:rFonts w:ascii="New Century Schoolbook" w:hAnsi="New Century Schoolbook" w:eastAsia="New Century Schoolbook" w:cs="New Century Schoolbook"/>
          <w:b w:val="0"/>
          <w:i/>
          <w:color w:val="000000"/>
          <w:sz w:val="23"/>
        </w:rPr>
        <w:t>Musick, Peeler &amp; Garrett v. Employers Ins. of Wausau</w:t>
      </w:r>
      <w:r>
        <w:rPr>
          <w:rFonts w:ascii="New Century Schoolbook" w:hAnsi="New Century Schoolbook" w:eastAsia="New Century Schoolbook" w:cs="New Century Schoolbook"/>
          <w:b w:val="0"/>
          <w:i w:val="0"/>
          <w:color w:val="000000"/>
          <w:sz w:val="23"/>
        </w:rPr>
        <w:t>, 508 U. S. 286, 291–294 (1993).</w:t>
      </w:r>
    </w:p>
    <w:p>
      <w:pPr>
        <w:pStyle w:val="OpinionBody"/>
        <w:keepNext w:val="0"/>
        <w:keepLines w:val="0"/>
      </w:pPr>
      <w:r>
        <w:rPr>
          <w:rFonts w:ascii="New Century Schoolbook" w:hAnsi="New Century Schoolbook" w:eastAsia="New Century Schoolbook" w:cs="New Century Schoolbook"/>
          <w:b w:val="0"/>
          <w:i w:val="0"/>
          <w:color w:val="000000"/>
          <w:sz w:val="23"/>
        </w:rPr>
        <w:t>There are two questions, and they should remain separate. First, may derivative responsibility attach after a plaintiff proves a completed primary § 10(b) violation? Second, if so, what state of mind and conduct make the secondary defendant responsible? Recognition of the first does not permit a court to dilute the primary elements or to impose liability because a defendant occupied an important position and might have prevented the fraud. The limits of the second question are part of the answer to the first.</w:t>
      </w:r>
    </w:p>
    <w:p>
      <w:pPr>
        <w:pStyle w:val="SectionHeading"/>
      </w:pPr>
      <w:r>
        <w:rPr>
          <w:rFonts w:ascii="New Century Schoolbook" w:hAnsi="New Century Schoolbook" w:eastAsia="New Century Schoolbook" w:cs="New Century Schoolbook"/>
          <w:b w:val="0"/>
          <w:i w:val="0"/>
          <w:color w:val="000000"/>
          <w:sz w:val="23"/>
        </w:rPr>
        <w:t>A</w:t>
      </w:r>
    </w:p>
    <w:p>
      <w:pPr>
        <w:pStyle w:val="OpinionBody"/>
        <w:keepNext w:val="0"/>
        <w:keepLines w:val="0"/>
      </w:pPr>
      <w:r>
        <w:rPr>
          <w:rFonts w:ascii="New Century Schoolbook" w:hAnsi="New Century Schoolbook" w:eastAsia="New Century Schoolbook" w:cs="New Century Schoolbook"/>
          <w:b w:val="0"/>
          <w:i w:val="0"/>
          <w:color w:val="000000"/>
          <w:sz w:val="23"/>
        </w:rPr>
        <w:t>Petitioner and the dissent draw a negative inference from the express private actions in the Securities Acts. Sections 11 and 12 of the Securities Act of 1933 and §§ 9, 16, and 18 of the 1934 Act identify conduct or persons subject to liability, yet none uses the words ‘aid’ or ‘abet.’ Section 20(a), moreover, provides one express form of secondary liability for controlling persons. From those premises they conclude that Congress would have excluded every other form of derivative responsibility from an express § 10(b) action. The premises are accurate. The conclusion assigns the same significance to provisions that perform different work.</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Our cases consult the express actions according to the question presented and the structural fit of the comparison. </w:t>
      </w:r>
      <w:r>
        <w:rPr>
          <w:rFonts w:ascii="New Century Schoolbook" w:hAnsi="New Century Schoolbook" w:eastAsia="New Century Schoolbook" w:cs="New Century Schoolbook"/>
          <w:b w:val="0"/>
          <w:i/>
          <w:color w:val="000000"/>
          <w:sz w:val="23"/>
        </w:rPr>
        <w:t>Musick, Peeler</w:t>
      </w:r>
      <w:r>
        <w:rPr>
          <w:rFonts w:ascii="New Century Schoolbook" w:hAnsi="New Century Schoolbook" w:eastAsia="New Century Schoolbook" w:cs="New Century Schoolbook"/>
          <w:b w:val="0"/>
          <w:i w:val="0"/>
          <w:color w:val="000000"/>
          <w:sz w:val="23"/>
        </w:rPr>
        <w:t xml:space="preserve"> illustrates the method. In determining whether defendants in a Rule 10b–5 action possess a right to contribution, the Court examined the express-liability provisions and selected §§ 9 and 18 as the closest analogues because they impose direct, scienter-based liability and often involve several participants in a common wrong. 508 U. S., at 294–297. Other provisions differed in the character of liability, the required state of mind, or the likelihood of joint responsibility.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xml:space="preserve">, at 296. Sections 9 and 18 expressly provide contribution; consistency supported the same incident among § 10(b) defendants.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at 297–298.</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That reasoning does not itself establish derivative liability. Contribution apportions responsibility among persons already liable, while the present question determines whether a person becomes liable at all.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xml:space="preserve">, at 291–293. The distinction must be conceded, not obscured. But </w:t>
      </w:r>
      <w:r>
        <w:rPr>
          <w:rFonts w:ascii="New Century Schoolbook" w:hAnsi="New Century Schoolbook" w:eastAsia="New Century Schoolbook" w:cs="New Century Schoolbook"/>
          <w:b w:val="0"/>
          <w:i/>
          <w:color w:val="000000"/>
          <w:sz w:val="23"/>
        </w:rPr>
        <w:t>Musick, Peeler</w:t>
      </w:r>
      <w:r>
        <w:rPr>
          <w:rFonts w:ascii="New Century Schoolbook" w:hAnsi="New Century Schoolbook" w:eastAsia="New Century Schoolbook" w:cs="New Century Schoolbook"/>
          <w:b w:val="0"/>
          <w:i w:val="0"/>
          <w:color w:val="000000"/>
          <w:sz w:val="23"/>
        </w:rPr>
        <w:t xml:space="preserve"> also rejects the premise that the express actions operate as a single list whose every omission governs every incident of § 10(b). Analogy depends upon function. We therefore ask what the cited defendant lists define, and whether they resolve knowing, material assistance to a completed § 10(b) fraud.</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Section 11 imposes a stringent, document-specific liability upon enumerated participants in a registered offering. 15 U. S. C. § 77k(a); </w:t>
      </w:r>
      <w:r>
        <w:rPr>
          <w:rFonts w:ascii="New Century Schoolbook" w:hAnsi="New Century Schoolbook" w:eastAsia="New Century Schoolbook" w:cs="New Century Schoolbook"/>
          <w:b w:val="0"/>
          <w:i/>
          <w:color w:val="000000"/>
          <w:sz w:val="23"/>
        </w:rPr>
        <w:t>Herman &amp; MacLean v. Huddleston</w:t>
      </w:r>
      <w:r>
        <w:rPr>
          <w:rFonts w:ascii="New Century Schoolbook" w:hAnsi="New Century Schoolbook" w:eastAsia="New Century Schoolbook" w:cs="New Century Schoolbook"/>
          <w:b w:val="0"/>
          <w:i w:val="0"/>
          <w:color w:val="000000"/>
          <w:sz w:val="23"/>
        </w:rPr>
        <w:t>, 459 U. S. 375, 381–382 (1983). Section 12 defines responsibility by the defendant’s role as an offeror or seller. 15 U. S. C. § 77l. Section 18 addresses a person who makes or causes to be made a materially false or misleading statement in a filed document. § 78r(a). These provisions identify direct statutory responsibility for particular documents and transactions. The rule at issue does not add a secondary defendant to any of those classes. It asks whether derivative responsibility follows only after the plaintiff proves a distinct, completed § 10(b) violation.</w:t>
      </w:r>
    </w:p>
    <w:p>
      <w:pPr>
        <w:pStyle w:val="OpinionBody"/>
        <w:keepNext w:val="0"/>
        <w:keepLines w:val="0"/>
      </w:pPr>
      <w:r>
        <w:rPr>
          <w:rFonts w:ascii="New Century Schoolbook" w:hAnsi="New Century Schoolbook" w:eastAsia="New Century Schoolbook" w:cs="New Century Schoolbook"/>
          <w:b w:val="0"/>
          <w:i/>
          <w:color w:val="000000"/>
          <w:sz w:val="23"/>
        </w:rPr>
        <w:t>Pinter v. Dahl</w:t>
      </w:r>
      <w:r>
        <w:rPr>
          <w:rFonts w:ascii="New Century Schoolbook" w:hAnsi="New Century Schoolbook" w:eastAsia="New Century Schoolbook" w:cs="New Century Schoolbook"/>
          <w:b w:val="0"/>
          <w:i w:val="0"/>
          <w:color w:val="000000"/>
          <w:sz w:val="23"/>
        </w:rPr>
        <w:t xml:space="preserve">, 486 U. S. 622 (1988), preserves that distinction. The Court refused to transform every substantial participant in a sale into a statutory ‘seller’ under § 12.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xml:space="preserve">, at 650–654. Such a construction would have displaced the words ‘offers or sells’ and exposed collateral participants to a strict rescission remedy. But </w:t>
      </w:r>
      <w:r>
        <w:rPr>
          <w:rFonts w:ascii="New Century Schoolbook" w:hAnsi="New Century Schoolbook" w:eastAsia="New Century Schoolbook" w:cs="New Century Schoolbook"/>
          <w:b w:val="0"/>
          <w:i/>
          <w:color w:val="000000"/>
          <w:sz w:val="23"/>
        </w:rPr>
        <w:t>Pinter</w:t>
      </w:r>
      <w:r>
        <w:rPr>
          <w:rFonts w:ascii="New Century Schoolbook" w:hAnsi="New Century Schoolbook" w:eastAsia="New Century Schoolbook" w:cs="New Century Schoolbook"/>
          <w:b w:val="0"/>
          <w:i w:val="0"/>
          <w:color w:val="000000"/>
          <w:sz w:val="23"/>
        </w:rPr>
        <w:t xml:space="preserve"> expressly reserved whether aiding-and-abetting liability was available under § 12.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at 648–649, n. 24. We adhere to what it decided. Material assistance does not make an accountant, attorney, bank, or trustee a statutory seller, signer, filer, or primary § 10(b) violator. The separate question of derivative responsibility was not resolved there.</w:t>
      </w:r>
    </w:p>
    <w:p>
      <w:pPr>
        <w:pStyle w:val="OpinionBody"/>
        <w:keepNext w:val="0"/>
        <w:keepLines w:val="0"/>
      </w:pPr>
      <w:r>
        <w:rPr>
          <w:rFonts w:ascii="New Century Schoolbook" w:hAnsi="New Century Schoolbook" w:eastAsia="New Century Schoolbook" w:cs="New Century Schoolbook"/>
          <w:b w:val="0"/>
          <w:i w:val="0"/>
          <w:color w:val="000000"/>
          <w:sz w:val="23"/>
        </w:rPr>
        <w:t>Section 20(a) presents the strongest structural objection, but it regulates a different relationship. The section selects a defendant by control over the primary violator and provides a defense where the controlling person acted in good faith and did not directly or indirectly induce the violation. 15 U. S. C. § 78t(a). The liability considered here selects no one by control. A person may control an enterprise without knowing of a particular fraud; another may knowingly facilitate that fraud without controlling its author. The first relation belongs to § 20(a). The second requires proof of knowledge and material assistance. Section 20(a) does not state that control exhausts every form of derivative responsibility associated with the recognized § 10(b) action.</w:t>
      </w:r>
    </w:p>
    <w:p>
      <w:pPr>
        <w:pStyle w:val="OpinionBody"/>
        <w:keepNext w:val="0"/>
        <w:keepLines w:val="0"/>
      </w:pPr>
      <w:r>
        <w:rPr>
          <w:rFonts w:ascii="New Century Schoolbook" w:hAnsi="New Century Schoolbook" w:eastAsia="New Century Schoolbook" w:cs="New Century Schoolbook"/>
          <w:b w:val="0"/>
          <w:i/>
          <w:color w:val="000000"/>
          <w:sz w:val="23"/>
        </w:rPr>
        <w:t>Herman &amp; MacLean</w:t>
      </w:r>
      <w:r>
        <w:rPr>
          <w:rFonts w:ascii="New Century Schoolbook" w:hAnsi="New Century Schoolbook" w:eastAsia="New Century Schoolbook" w:cs="New Century Schoolbook"/>
          <w:b w:val="0"/>
          <w:i w:val="0"/>
          <w:color w:val="000000"/>
          <w:sz w:val="23"/>
        </w:rPr>
        <w:t xml:space="preserve"> confirms that an express defendant roster is not necessarily an exclusive remedial code. Section 11 identifies defendants and supplies procedures not found in § 10(b), yet the Court held that it does not displace a § 10(b) claim addressing the same transaction. 459 U. S., at 380–387. The two provisions concern different wrongdoing and require different proof. Section 11 places a comparatively light burden upon the plaintiff in its limited field; § 10(b), the Acts’ catchall antifraud provision, requires scienter.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xml:space="preserve">, at 382–383. The saving clauses and the accepted overlap of the Acts further refuted an inference of exclusivity. </w:t>
      </w:r>
      <w:r>
        <w:rPr>
          <w:rFonts w:ascii="New Century Schoolbook" w:hAnsi="New Century Schoolbook" w:eastAsia="New Century Schoolbook" w:cs="New Century Schoolbook"/>
          <w:b w:val="0"/>
          <w:i/>
          <w:color w:val="000000"/>
          <w:sz w:val="23"/>
        </w:rPr>
        <w:t>Id.</w:t>
      </w:r>
      <w:r>
        <w:rPr>
          <w:rFonts w:ascii="New Century Schoolbook" w:hAnsi="New Century Schoolbook" w:eastAsia="New Century Schoolbook" w:cs="New Century Schoolbook"/>
          <w:b w:val="0"/>
          <w:i w:val="0"/>
          <w:color w:val="000000"/>
          <w:sz w:val="23"/>
        </w:rPr>
        <w:t>, at 383–384.</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That conclusion respected the restrictions identified in </w:t>
      </w:r>
      <w:r>
        <w:rPr>
          <w:rFonts w:ascii="New Century Schoolbook" w:hAnsi="New Century Schoolbook" w:eastAsia="New Century Schoolbook" w:cs="New Century Schoolbook"/>
          <w:b w:val="0"/>
          <w:i/>
          <w:color w:val="000000"/>
          <w:sz w:val="23"/>
        </w:rPr>
        <w:t>Hochfelder</w:t>
      </w:r>
      <w:r>
        <w:rPr>
          <w:rFonts w:ascii="New Century Schoolbook" w:hAnsi="New Century Schoolbook" w:eastAsia="New Century Schoolbook" w:cs="New Century Schoolbook"/>
          <w:b w:val="0"/>
          <w:i w:val="0"/>
          <w:color w:val="000000"/>
          <w:sz w:val="23"/>
        </w:rPr>
        <w:t xml:space="preserve">. The Court there refused to permit negligence under § 10(b), in part because doing so would allow a plaintiff to avoid carefully drawn limits surrounding express negligence-based actions. 425 U. S., at 206–211. As </w:t>
      </w:r>
      <w:r>
        <w:rPr>
          <w:rFonts w:ascii="New Century Schoolbook" w:hAnsi="New Century Schoolbook" w:eastAsia="New Century Schoolbook" w:cs="New Century Schoolbook"/>
          <w:b w:val="0"/>
          <w:i/>
          <w:color w:val="000000"/>
          <w:sz w:val="23"/>
        </w:rPr>
        <w:t>Herman &amp; MacLean</w:t>
      </w:r>
      <w:r>
        <w:rPr>
          <w:rFonts w:ascii="New Century Schoolbook" w:hAnsi="New Century Schoolbook" w:eastAsia="New Century Schoolbook" w:cs="New Century Schoolbook"/>
          <w:b w:val="0"/>
          <w:i w:val="0"/>
          <w:color w:val="000000"/>
          <w:sz w:val="23"/>
        </w:rPr>
        <w:t xml:space="preserve"> later explained, the anti-circumvention reasoning necessarily assumed that the express actions were not exclusive. 459 U. S., at 384. Its office was to prevent evasion of statutory limits, not to extinguish every distinct § 10(b) claim arising from the same transaction.</w:t>
      </w:r>
    </w:p>
    <w:p>
      <w:pPr>
        <w:pStyle w:val="OpinionBody"/>
        <w:keepNext w:val="0"/>
        <w:keepLines w:val="0"/>
      </w:pPr>
      <w:r>
        <w:rPr>
          <w:rFonts w:ascii="New Century Schoolbook" w:hAnsi="New Century Schoolbook" w:eastAsia="New Century Schoolbook" w:cs="New Century Schoolbook"/>
          <w:b w:val="0"/>
          <w:i w:val="0"/>
          <w:color w:val="000000"/>
          <w:sz w:val="23"/>
        </w:rPr>
        <w:t>The derivative rule recognized here preserves those limits. The plaintiff must prove a completed primary violation with every element required by the private § 10(b) action. The plaintiff must separately prove the secondary defendant’s knowledge or conscious recklessness approaching actual knowledge, and substantial assistance that materially facilitated the violation. An omission counts only where a defined, transaction-specific responsibility required action. These requirements are unlike the document-based and status-based liabilities elsewhere in the Acts. They do not nullify a restriction Congress placed upon an express action.</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Reliance supplies no contrary inference. The plaintiff must prove reliance upon the primary deception. </w:t>
      </w:r>
      <w:r>
        <w:rPr>
          <w:rFonts w:ascii="New Century Schoolbook" w:hAnsi="New Century Schoolbook" w:eastAsia="New Century Schoolbook" w:cs="New Century Schoolbook"/>
          <w:b w:val="0"/>
          <w:i/>
          <w:color w:val="000000"/>
          <w:sz w:val="23"/>
        </w:rPr>
        <w:t>Basic</w:t>
      </w:r>
      <w:r>
        <w:rPr>
          <w:rFonts w:ascii="New Century Schoolbook" w:hAnsi="New Century Schoolbook" w:eastAsia="New Century Schoolbook" w:cs="New Century Schoolbook"/>
          <w:b w:val="0"/>
          <w:i w:val="0"/>
          <w:color w:val="000000"/>
          <w:sz w:val="23"/>
        </w:rPr>
        <w:t>, 485 U. S., at 243. Derivative responsibility does not require a second act of reliance upon the secondary defendant’s assistance. A contrary requirement would eliminate derivative liability by definition. Section 20(a) illustrates the distinction: a controlling person’s liability depends upon the controlled person’s liability to the plaintiff, not upon separate reliance on a statement by the controller. The allocation here likewise leaves reliance indispensable to the completed primary wrong.</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asserted anomaly therefore rests upon a comparison of different statutory roles. The rule does not enlarge the plaintiff class, redefine a statutory seller, or dispense with an element of § 10(b). Once the established action is accepted, the statute does not require categorical immunity for a person who knows of the primary deception and materially makes it possible while preserving liability for the person who commits it. The rule assigns derivative responsibility only after the plaintiff proves the primary fraud, the secondary defendant’s near-knowledge, and material facilitation. This Court has used the express actions to recognize contribution, preserve the purchaser-seller limitation, require scienter, and prevent circumvention of express restrictions. </w:t>
      </w:r>
      <w:r>
        <w:rPr>
          <w:rFonts w:ascii="New Century Schoolbook" w:hAnsi="New Century Schoolbook" w:eastAsia="New Century Schoolbook" w:cs="New Century Schoolbook"/>
          <w:b w:val="0"/>
          <w:i/>
          <w:color w:val="000000"/>
          <w:sz w:val="23"/>
        </w:rPr>
        <w:t>Musick, Peeler</w:t>
      </w:r>
      <w:r>
        <w:rPr>
          <w:rFonts w:ascii="New Century Schoolbook" w:hAnsi="New Century Schoolbook" w:eastAsia="New Century Schoolbook" w:cs="New Century Schoolbook"/>
          <w:b w:val="0"/>
          <w:i w:val="0"/>
          <w:color w:val="000000"/>
          <w:sz w:val="23"/>
        </w:rPr>
        <w:t xml:space="preserve">, 508 U. S., at 294–298; </w:t>
      </w:r>
      <w:r>
        <w:rPr>
          <w:rFonts w:ascii="New Century Schoolbook" w:hAnsi="New Century Schoolbook" w:eastAsia="New Century Schoolbook" w:cs="New Century Schoolbook"/>
          <w:b w:val="0"/>
          <w:i/>
          <w:color w:val="000000"/>
          <w:sz w:val="23"/>
        </w:rPr>
        <w:t>Blue Chip Stamps</w:t>
      </w:r>
      <w:r>
        <w:rPr>
          <w:rFonts w:ascii="New Century Schoolbook" w:hAnsi="New Century Schoolbook" w:eastAsia="New Century Schoolbook" w:cs="New Century Schoolbook"/>
          <w:b w:val="0"/>
          <w:i w:val="0"/>
          <w:color w:val="000000"/>
          <w:sz w:val="23"/>
        </w:rPr>
        <w:t xml:space="preserve">, 421 U. S., at 735–737; </w:t>
      </w:r>
      <w:r>
        <w:rPr>
          <w:rFonts w:ascii="New Century Schoolbook" w:hAnsi="New Century Schoolbook" w:eastAsia="New Century Schoolbook" w:cs="New Century Schoolbook"/>
          <w:b w:val="0"/>
          <w:i/>
          <w:color w:val="000000"/>
          <w:sz w:val="23"/>
        </w:rPr>
        <w:t>Hochfelder</w:t>
      </w:r>
      <w:r>
        <w:rPr>
          <w:rFonts w:ascii="New Century Schoolbook" w:hAnsi="New Century Schoolbook" w:eastAsia="New Century Schoolbook" w:cs="New Century Schoolbook"/>
          <w:b w:val="0"/>
          <w:i w:val="0"/>
          <w:color w:val="000000"/>
          <w:sz w:val="23"/>
        </w:rPr>
        <w:t>, 425 U. S., at 206–211. Those comparisons are made issue by issue. They do not establish that every incident absent from every statutory roster is forbidden in the settled § 10(b) action.</w:t>
      </w:r>
    </w:p>
    <w:p>
      <w:pPr>
        <w:pStyle w:val="OpinionBody"/>
        <w:keepNext w:val="0"/>
        <w:keepLines w:val="0"/>
      </w:pPr>
      <w:r>
        <w:rPr>
          <w:rFonts w:ascii="New Century Schoolbook" w:hAnsi="New Century Schoolbook" w:eastAsia="New Century Schoolbook" w:cs="New Century Schoolbook"/>
          <w:b w:val="0"/>
          <w:i w:val="0"/>
          <w:color w:val="000000"/>
          <w:sz w:val="23"/>
        </w:rPr>
        <w:t>The same method answers the argument that Congress elsewhere used the words ‘aid’ and ‘abet.’ That usage proves Congress can write the phrase and cautions against treating statutory silence as an express command. It does not establish that the 1934 Congress meant to strip an already applicable fraud prohibition of a derivative incident later recognized and confined by the courts. We do not infer liability from a later legislature’s choice of words. We decline only the further inference that those words retrospectively exclude a settled construction from a different statutory setting.</w:t>
      </w:r>
    </w:p>
    <w:p>
      <w:pPr>
        <w:pStyle w:val="SectionHeading"/>
      </w:pPr>
      <w:r>
        <w:rPr>
          <w:rFonts w:ascii="New Century Schoolbook" w:hAnsi="New Century Schoolbook" w:eastAsia="New Century Schoolbook" w:cs="New Century Schoolbook"/>
          <w:b w:val="0"/>
          <w:i w:val="0"/>
          <w:color w:val="000000"/>
          <w:sz w:val="23"/>
        </w:rPr>
        <w:t>B</w:t>
      </w:r>
    </w:p>
    <w:p>
      <w:pPr>
        <w:pStyle w:val="OpinionBody"/>
        <w:keepNext w:val="0"/>
        <w:keepLines w:val="0"/>
      </w:pPr>
      <w:r>
        <w:rPr>
          <w:rFonts w:ascii="New Century Schoolbook" w:hAnsi="New Century Schoolbook" w:eastAsia="New Century Schoolbook" w:cs="New Century Schoolbook"/>
          <w:b w:val="0"/>
          <w:i w:val="0"/>
          <w:color w:val="000000"/>
          <w:sz w:val="23"/>
        </w:rPr>
        <w:t>The history of the private action supports continuity, with appropriate limits. By 1994, all 11 regional Courts of Appeals that had squarely considered the availability of a private aiding-and-abetting claim under § 10(b) had recognized one. They agreed upon the general requirement of a primary violation, culpable knowledge, and substantial assistance. They did not agree upon the degree of scienter, the place of duty, or the conduct sufficient in particular circumstances.</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decisions include </w:t>
      </w:r>
      <w:r>
        <w:rPr>
          <w:rFonts w:ascii="New Century Schoolbook" w:hAnsi="New Century Schoolbook" w:eastAsia="New Century Schoolbook" w:cs="New Century Schoolbook"/>
          <w:b w:val="0"/>
          <w:i/>
          <w:color w:val="000000"/>
          <w:sz w:val="23"/>
        </w:rPr>
        <w:t>Cleary v. Perfectune, Inc.</w:t>
      </w:r>
      <w:r>
        <w:rPr>
          <w:rFonts w:ascii="New Century Schoolbook" w:hAnsi="New Century Schoolbook" w:eastAsia="New Century Schoolbook" w:cs="New Century Schoolbook"/>
          <w:b w:val="0"/>
          <w:i w:val="0"/>
          <w:color w:val="000000"/>
          <w:sz w:val="23"/>
        </w:rPr>
        <w:t xml:space="preserve">, 700 F. 2d 774, 777 (CA1 1983); </w:t>
      </w:r>
      <w:r>
        <w:rPr>
          <w:rFonts w:ascii="New Century Schoolbook" w:hAnsi="New Century Schoolbook" w:eastAsia="New Century Schoolbook" w:cs="New Century Schoolbook"/>
          <w:b w:val="0"/>
          <w:i/>
          <w:color w:val="000000"/>
          <w:sz w:val="23"/>
        </w:rPr>
        <w:t>IIT v. Cornfeld</w:t>
      </w:r>
      <w:r>
        <w:rPr>
          <w:rFonts w:ascii="New Century Schoolbook" w:hAnsi="New Century Schoolbook" w:eastAsia="New Century Schoolbook" w:cs="New Century Schoolbook"/>
          <w:b w:val="0"/>
          <w:i w:val="0"/>
          <w:color w:val="000000"/>
          <w:sz w:val="23"/>
        </w:rPr>
        <w:t xml:space="preserve">, 619 F. 2d 909, 922 (CA2 1980); </w:t>
      </w:r>
      <w:r>
        <w:rPr>
          <w:rFonts w:ascii="New Century Schoolbook" w:hAnsi="New Century Schoolbook" w:eastAsia="New Century Schoolbook" w:cs="New Century Schoolbook"/>
          <w:b w:val="0"/>
          <w:i/>
          <w:color w:val="000000"/>
          <w:sz w:val="23"/>
        </w:rPr>
        <w:t>Monsen v. Consolidated Dressed Beef Co.</w:t>
      </w:r>
      <w:r>
        <w:rPr>
          <w:rFonts w:ascii="New Century Schoolbook" w:hAnsi="New Century Schoolbook" w:eastAsia="New Century Schoolbook" w:cs="New Century Schoolbook"/>
          <w:b w:val="0"/>
          <w:i w:val="0"/>
          <w:color w:val="000000"/>
          <w:sz w:val="23"/>
        </w:rPr>
        <w:t xml:space="preserve">, 579 F. 2d 793, 799–800 (CA3 1978); </w:t>
      </w:r>
      <w:r>
        <w:rPr>
          <w:rFonts w:ascii="New Century Schoolbook" w:hAnsi="New Century Schoolbook" w:eastAsia="New Century Schoolbook" w:cs="New Century Schoolbook"/>
          <w:b w:val="0"/>
          <w:i/>
          <w:color w:val="000000"/>
          <w:sz w:val="23"/>
        </w:rPr>
        <w:t>Schatz v. Rosenberg</w:t>
      </w:r>
      <w:r>
        <w:rPr>
          <w:rFonts w:ascii="New Century Schoolbook" w:hAnsi="New Century Schoolbook" w:eastAsia="New Century Schoolbook" w:cs="New Century Schoolbook"/>
          <w:b w:val="0"/>
          <w:i w:val="0"/>
          <w:color w:val="000000"/>
          <w:sz w:val="23"/>
        </w:rPr>
        <w:t xml:space="preserve">, 943 F. 2d 485, 496–497 (CA4 1991); </w:t>
      </w:r>
      <w:r>
        <w:rPr>
          <w:rFonts w:ascii="New Century Schoolbook" w:hAnsi="New Century Schoolbook" w:eastAsia="New Century Schoolbook" w:cs="New Century Schoolbook"/>
          <w:b w:val="0"/>
          <w:i/>
          <w:color w:val="000000"/>
          <w:sz w:val="23"/>
        </w:rPr>
        <w:t>Fine v. American Solar King Corp.</w:t>
      </w:r>
      <w:r>
        <w:rPr>
          <w:rFonts w:ascii="New Century Schoolbook" w:hAnsi="New Century Schoolbook" w:eastAsia="New Century Schoolbook" w:cs="New Century Schoolbook"/>
          <w:b w:val="0"/>
          <w:i w:val="0"/>
          <w:color w:val="000000"/>
          <w:sz w:val="23"/>
        </w:rPr>
        <w:t xml:space="preserve">, 919 F. 2d 290, 300 (CA5 1990); </w:t>
      </w:r>
      <w:r>
        <w:rPr>
          <w:rFonts w:ascii="New Century Schoolbook" w:hAnsi="New Century Schoolbook" w:eastAsia="New Century Schoolbook" w:cs="New Century Schoolbook"/>
          <w:b w:val="0"/>
          <w:i/>
          <w:color w:val="000000"/>
          <w:sz w:val="23"/>
        </w:rPr>
        <w:t>Moore v. Fenex, Inc.</w:t>
      </w:r>
      <w:r>
        <w:rPr>
          <w:rFonts w:ascii="New Century Schoolbook" w:hAnsi="New Century Schoolbook" w:eastAsia="New Century Schoolbook" w:cs="New Century Schoolbook"/>
          <w:b w:val="0"/>
          <w:i w:val="0"/>
          <w:color w:val="000000"/>
          <w:sz w:val="23"/>
        </w:rPr>
        <w:t xml:space="preserve">, 809 F. 2d 297, 303 (CA6 1987); </w:t>
      </w:r>
      <w:r>
        <w:rPr>
          <w:rFonts w:ascii="New Century Schoolbook" w:hAnsi="New Century Schoolbook" w:eastAsia="New Century Schoolbook" w:cs="New Century Schoolbook"/>
          <w:b w:val="0"/>
          <w:i/>
          <w:color w:val="000000"/>
          <w:sz w:val="23"/>
        </w:rPr>
        <w:t>Schlifke v. Seafirst Corp.</w:t>
      </w:r>
      <w:r>
        <w:rPr>
          <w:rFonts w:ascii="New Century Schoolbook" w:hAnsi="New Century Schoolbook" w:eastAsia="New Century Schoolbook" w:cs="New Century Schoolbook"/>
          <w:b w:val="0"/>
          <w:i w:val="0"/>
          <w:color w:val="000000"/>
          <w:sz w:val="23"/>
        </w:rPr>
        <w:t xml:space="preserve">, 866 F. 2d 935, 947 (CA7 1989); </w:t>
      </w:r>
      <w:r>
        <w:rPr>
          <w:rFonts w:ascii="New Century Schoolbook" w:hAnsi="New Century Schoolbook" w:eastAsia="New Century Schoolbook" w:cs="New Century Schoolbook"/>
          <w:b w:val="0"/>
          <w:i/>
          <w:color w:val="000000"/>
          <w:sz w:val="23"/>
        </w:rPr>
        <w:t>K &amp; S Partnership v. Continental Bank, N. A.</w:t>
      </w:r>
      <w:r>
        <w:rPr>
          <w:rFonts w:ascii="New Century Schoolbook" w:hAnsi="New Century Schoolbook" w:eastAsia="New Century Schoolbook" w:cs="New Century Schoolbook"/>
          <w:b w:val="0"/>
          <w:i w:val="0"/>
          <w:color w:val="000000"/>
          <w:sz w:val="23"/>
        </w:rPr>
        <w:t xml:space="preserve">, 952 F. 2d 971, 977 (CA8 1991); </w:t>
      </w:r>
      <w:r>
        <w:rPr>
          <w:rFonts w:ascii="New Century Schoolbook" w:hAnsi="New Century Schoolbook" w:eastAsia="New Century Schoolbook" w:cs="New Century Schoolbook"/>
          <w:b w:val="0"/>
          <w:i/>
          <w:color w:val="000000"/>
          <w:sz w:val="23"/>
        </w:rPr>
        <w:t>Levine v. Diamanthuset, Inc.</w:t>
      </w:r>
      <w:r>
        <w:rPr>
          <w:rFonts w:ascii="New Century Schoolbook" w:hAnsi="New Century Schoolbook" w:eastAsia="New Century Schoolbook" w:cs="New Century Schoolbook"/>
          <w:b w:val="0"/>
          <w:i w:val="0"/>
          <w:color w:val="000000"/>
          <w:sz w:val="23"/>
        </w:rPr>
        <w:t xml:space="preserve">, 950 F. 2d 1478, 1483 (CA9 1991); </w:t>
      </w:r>
      <w:r>
        <w:rPr>
          <w:rFonts w:ascii="New Century Schoolbook" w:hAnsi="New Century Schoolbook" w:eastAsia="New Century Schoolbook" w:cs="New Century Schoolbook"/>
          <w:b w:val="0"/>
          <w:i/>
          <w:color w:val="000000"/>
          <w:sz w:val="23"/>
        </w:rPr>
        <w:t>Farlow v. Peat, Marwick, Mitchell &amp; Co.</w:t>
      </w:r>
      <w:r>
        <w:rPr>
          <w:rFonts w:ascii="New Century Schoolbook" w:hAnsi="New Century Schoolbook" w:eastAsia="New Century Schoolbook" w:cs="New Century Schoolbook"/>
          <w:b w:val="0"/>
          <w:i w:val="0"/>
          <w:color w:val="000000"/>
          <w:sz w:val="23"/>
        </w:rPr>
        <w:t xml:space="preserve">, 956 F. 2d 982, 986 (CA10 1992); and </w:t>
      </w:r>
      <w:r>
        <w:rPr>
          <w:rFonts w:ascii="New Century Schoolbook" w:hAnsi="New Century Schoolbook" w:eastAsia="New Century Schoolbook" w:cs="New Century Schoolbook"/>
          <w:b w:val="0"/>
          <w:i/>
          <w:color w:val="000000"/>
          <w:sz w:val="23"/>
        </w:rPr>
        <w:t>Schneberger v. Wheeler</w:t>
      </w:r>
      <w:r>
        <w:rPr>
          <w:rFonts w:ascii="New Century Schoolbook" w:hAnsi="New Century Schoolbook" w:eastAsia="New Century Schoolbook" w:cs="New Century Schoolbook"/>
          <w:b w:val="0"/>
          <w:i w:val="0"/>
          <w:color w:val="000000"/>
          <w:sz w:val="23"/>
        </w:rPr>
        <w:t xml:space="preserve">, 859 F. 2d 1477, 1480 (CA11 1988). The District of Columbia Circuit had recognized the theory in a Commission proceeding and suggested its private availability. </w:t>
      </w:r>
      <w:r>
        <w:rPr>
          <w:rFonts w:ascii="New Century Schoolbook" w:hAnsi="New Century Schoolbook" w:eastAsia="New Century Schoolbook" w:cs="New Century Schoolbook"/>
          <w:b w:val="0"/>
          <w:i/>
          <w:color w:val="000000"/>
          <w:sz w:val="23"/>
        </w:rPr>
        <w:t>Dirks v. SEC</w:t>
      </w:r>
      <w:r>
        <w:rPr>
          <w:rFonts w:ascii="New Century Schoolbook" w:hAnsi="New Century Schoolbook" w:eastAsia="New Century Schoolbook" w:cs="New Century Schoolbook"/>
          <w:b w:val="0"/>
          <w:i w:val="0"/>
          <w:color w:val="000000"/>
          <w:sz w:val="23"/>
        </w:rPr>
        <w:t xml:space="preserve">, 681 F. 2d 824, 844 (CADC), reversed on other grounds, 463 U. S. 646 (1983); </w:t>
      </w:r>
      <w:r>
        <w:rPr>
          <w:rFonts w:ascii="New Century Schoolbook" w:hAnsi="New Century Schoolbook" w:eastAsia="New Century Schoolbook" w:cs="New Century Schoolbook"/>
          <w:b w:val="0"/>
          <w:i/>
          <w:color w:val="000000"/>
          <w:sz w:val="23"/>
        </w:rPr>
        <w:t>Zoelsch v. Arthur Andersen &amp; Co.</w:t>
      </w:r>
      <w:r>
        <w:rPr>
          <w:rFonts w:ascii="New Century Schoolbook" w:hAnsi="New Century Schoolbook" w:eastAsia="New Century Schoolbook" w:cs="New Century Schoolbook"/>
          <w:b w:val="0"/>
          <w:i w:val="0"/>
          <w:color w:val="000000"/>
          <w:sz w:val="23"/>
        </w:rPr>
        <w:t>, 824 F. 2d 27, 35–36 (CADC 1987).</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breadth of that agreement is significant because the question is not whether to create a private action anew. The action exists, and this Court has defined its incidents in light of statutory language, analogous provisions, and settled construction. </w:t>
      </w:r>
      <w:r>
        <w:rPr>
          <w:rFonts w:ascii="New Century Schoolbook" w:hAnsi="New Century Schoolbook" w:eastAsia="New Century Schoolbook" w:cs="New Century Schoolbook"/>
          <w:b w:val="0"/>
          <w:i/>
          <w:color w:val="000000"/>
          <w:sz w:val="23"/>
        </w:rPr>
        <w:t>Blue Chip Stamps</w:t>
      </w:r>
      <w:r>
        <w:rPr>
          <w:rFonts w:ascii="New Century Schoolbook" w:hAnsi="New Century Schoolbook" w:eastAsia="New Century Schoolbook" w:cs="New Century Schoolbook"/>
          <w:b w:val="0"/>
          <w:i w:val="0"/>
          <w:color w:val="000000"/>
          <w:sz w:val="23"/>
        </w:rPr>
        <w:t xml:space="preserve">, 421 U. S., at 737; </w:t>
      </w:r>
      <w:r>
        <w:rPr>
          <w:rFonts w:ascii="New Century Schoolbook" w:hAnsi="New Century Schoolbook" w:eastAsia="New Century Schoolbook" w:cs="New Century Schoolbook"/>
          <w:b w:val="0"/>
          <w:i/>
          <w:color w:val="000000"/>
          <w:sz w:val="23"/>
        </w:rPr>
        <w:t>Musick, Peeler</w:t>
      </w:r>
      <w:r>
        <w:rPr>
          <w:rFonts w:ascii="New Century Schoolbook" w:hAnsi="New Century Schoolbook" w:eastAsia="New Century Schoolbook" w:cs="New Century Schoolbook"/>
          <w:b w:val="0"/>
          <w:i w:val="0"/>
          <w:color w:val="000000"/>
          <w:sz w:val="23"/>
        </w:rPr>
        <w:t>, 508 U. S., at 291–294. Longstanding agreement among the courts does not authorize a rule incompatible with the statute. It does require a sound statutory reason before this Court removes an established part of the action upon which courts and litigants have ordered their conduct.</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rule was visible well before the present consensus. By 1975, several appellate decisions had recognized private derivative liability under § 10(b). See </w:t>
      </w:r>
      <w:r>
        <w:rPr>
          <w:rFonts w:ascii="New Century Schoolbook" w:hAnsi="New Century Schoolbook" w:eastAsia="New Century Schoolbook" w:cs="New Century Schoolbook"/>
          <w:b w:val="0"/>
          <w:i/>
          <w:color w:val="000000"/>
          <w:sz w:val="23"/>
        </w:rPr>
        <w:t>Buttrey v. Merrill Lynch, Pierce, Fenner &amp; Smith, Inc.</w:t>
      </w:r>
      <w:r>
        <w:rPr>
          <w:rFonts w:ascii="New Century Schoolbook" w:hAnsi="New Century Schoolbook" w:eastAsia="New Century Schoolbook" w:cs="New Century Schoolbook"/>
          <w:b w:val="0"/>
          <w:i w:val="0"/>
          <w:color w:val="000000"/>
          <w:sz w:val="23"/>
        </w:rPr>
        <w:t xml:space="preserve">, 410 F. 2d 135, 144 (CA7), cert. denied, 396 U. S. 838 (1969); </w:t>
      </w:r>
      <w:r>
        <w:rPr>
          <w:rFonts w:ascii="New Century Schoolbook" w:hAnsi="New Century Schoolbook" w:eastAsia="New Century Schoolbook" w:cs="New Century Schoolbook"/>
          <w:b w:val="0"/>
          <w:i/>
          <w:color w:val="000000"/>
          <w:sz w:val="23"/>
        </w:rPr>
        <w:t>Landy v. FDIC</w:t>
      </w:r>
      <w:r>
        <w:rPr>
          <w:rFonts w:ascii="New Century Schoolbook" w:hAnsi="New Century Schoolbook" w:eastAsia="New Century Schoolbook" w:cs="New Century Schoolbook"/>
          <w:b w:val="0"/>
          <w:i w:val="0"/>
          <w:color w:val="000000"/>
          <w:sz w:val="23"/>
        </w:rPr>
        <w:t xml:space="preserve">, 486 F. 2d 139, 162–163 (CA3 1973), cert. denied, 416 U. S. 960 (1974); </w:t>
      </w:r>
      <w:r>
        <w:rPr>
          <w:rFonts w:ascii="New Century Schoolbook" w:hAnsi="New Century Schoolbook" w:eastAsia="New Century Schoolbook" w:cs="New Century Schoolbook"/>
          <w:b w:val="0"/>
          <w:i/>
          <w:color w:val="000000"/>
          <w:sz w:val="23"/>
        </w:rPr>
        <w:t>Strong v. France</w:t>
      </w:r>
      <w:r>
        <w:rPr>
          <w:rFonts w:ascii="New Century Schoolbook" w:hAnsi="New Century Schoolbook" w:eastAsia="New Century Schoolbook" w:cs="New Century Schoolbook"/>
          <w:b w:val="0"/>
          <w:i w:val="0"/>
          <w:color w:val="000000"/>
          <w:sz w:val="23"/>
        </w:rPr>
        <w:t xml:space="preserve">, 474 F. 2d 747, 752 (CA9 1973); </w:t>
      </w:r>
      <w:r>
        <w:rPr>
          <w:rFonts w:ascii="New Century Schoolbook" w:hAnsi="New Century Schoolbook" w:eastAsia="New Century Schoolbook" w:cs="New Century Schoolbook"/>
          <w:b w:val="0"/>
          <w:i/>
          <w:color w:val="000000"/>
          <w:sz w:val="23"/>
        </w:rPr>
        <w:t>Lanza v. Drexel &amp; Co.</w:t>
      </w:r>
      <w:r>
        <w:rPr>
          <w:rFonts w:ascii="New Century Schoolbook" w:hAnsi="New Century Schoolbook" w:eastAsia="New Century Schoolbook" w:cs="New Century Schoolbook"/>
          <w:b w:val="0"/>
          <w:i w:val="0"/>
          <w:color w:val="000000"/>
          <w:sz w:val="23"/>
        </w:rPr>
        <w:t xml:space="preserve">, 479 F. 2d 1277, 1301, 1303–1304 (CA2 1973) (en banc); </w:t>
      </w:r>
      <w:r>
        <w:rPr>
          <w:rFonts w:ascii="New Century Schoolbook" w:hAnsi="New Century Schoolbook" w:eastAsia="New Century Schoolbook" w:cs="New Century Schoolbook"/>
          <w:b w:val="0"/>
          <w:i/>
          <w:color w:val="000000"/>
          <w:sz w:val="23"/>
        </w:rPr>
        <w:t>Kerbs v. Fall River Industries, Inc.</w:t>
      </w:r>
      <w:r>
        <w:rPr>
          <w:rFonts w:ascii="New Century Schoolbook" w:hAnsi="New Century Schoolbook" w:eastAsia="New Century Schoolbook" w:cs="New Century Schoolbook"/>
          <w:b w:val="0"/>
          <w:i w:val="0"/>
          <w:color w:val="000000"/>
          <w:sz w:val="23"/>
        </w:rPr>
        <w:t xml:space="preserve">, 502 F. 2d 731, 739–740 (CA10 1974). The first reported decision had appeared in </w:t>
      </w:r>
      <w:r>
        <w:rPr>
          <w:rFonts w:ascii="New Century Schoolbook" w:hAnsi="New Century Schoolbook" w:eastAsia="New Century Schoolbook" w:cs="New Century Schoolbook"/>
          <w:b w:val="0"/>
          <w:i/>
          <w:color w:val="000000"/>
          <w:sz w:val="23"/>
        </w:rPr>
        <w:t>Brennan v. Midwestern United Life Ins. Co.</w:t>
      </w:r>
      <w:r>
        <w:rPr>
          <w:rFonts w:ascii="New Century Schoolbook" w:hAnsi="New Century Schoolbook" w:eastAsia="New Century Schoolbook" w:cs="New Century Schoolbook"/>
          <w:b w:val="0"/>
          <w:i w:val="0"/>
          <w:color w:val="000000"/>
          <w:sz w:val="23"/>
        </w:rPr>
        <w:t>, 259 F. Supp. 673, 680 (ND Ind. 1966), affirmed, 417 F. 2d 147 (CA7 1969), cert. denied, 397 U. S. 989 (1970).</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Congress then enacted the Securities Acts Amendments of 1975, Pub. L. 94–29, 89 Stat. 97, after a searching reexamination of the national securities markets. See </w:t>
      </w:r>
      <w:r>
        <w:rPr>
          <w:rFonts w:ascii="New Century Schoolbook" w:hAnsi="New Century Schoolbook" w:eastAsia="New Century Schoolbook" w:cs="New Century Schoolbook"/>
          <w:b w:val="0"/>
          <w:i/>
          <w:color w:val="000000"/>
          <w:sz w:val="23"/>
        </w:rPr>
        <w:t>Herman &amp; MacLean</w:t>
      </w:r>
      <w:r>
        <w:rPr>
          <w:rFonts w:ascii="New Century Schoolbook" w:hAnsi="New Century Schoolbook" w:eastAsia="New Century Schoolbook" w:cs="New Century Schoolbook"/>
          <w:b w:val="0"/>
          <w:i w:val="0"/>
          <w:color w:val="000000"/>
          <w:sz w:val="23"/>
        </w:rPr>
        <w:t>, 459 U. S., at 384–386, and n. 20. Congress did not reenact § 10(b), and the formal reenactment rule does not apply. Nor does silence alone supply a cause of action. The narrower point is that a comprehensive revision left a substantial and visible body of private aiding-and-abetting decisions undisturbed. When defining an incident of an action already established, that history confirms the caution supplied by statutory precedent. It does not create liability apart from the statute.</w:t>
      </w:r>
    </w:p>
    <w:p>
      <w:pPr>
        <w:pStyle w:val="OpinionBody"/>
        <w:keepNext w:val="0"/>
        <w:keepLines w:val="0"/>
      </w:pPr>
      <w:r>
        <w:rPr>
          <w:rFonts w:ascii="New Century Schoolbook" w:hAnsi="New Century Schoolbook" w:eastAsia="New Century Schoolbook" w:cs="New Century Schoolbook"/>
          <w:b w:val="0"/>
          <w:i w:val="0"/>
          <w:color w:val="000000"/>
          <w:sz w:val="23"/>
        </w:rPr>
        <w:t>The 1975 Act also used express aiding-and-abetting language in the Commission’s broker-dealer disciplinary authority. Pub. L. 94–29, § 11, 89 Stat. 121, 123, amending Exchange Act § 15(b)(4)(E). That choice defeats any claim that Congress was unaware of the phrase. It does not decide the private question. A provision defining an agency’s disciplinary power over regulated broker-dealers differs in defendant class, remedy, and operation from an incident of the judicially recognized damages action. We give the public-enforcement distinction its proper weight without treating it as a silent repeal of the private decisions Congress left in place.</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Commission, appearing as </w:t>
      </w:r>
      <w:r>
        <w:rPr>
          <w:rFonts w:ascii="New Century Schoolbook" w:hAnsi="New Century Schoolbook" w:eastAsia="New Century Schoolbook" w:cs="New Century Schoolbook"/>
          <w:b w:val="0"/>
          <w:i/>
          <w:color w:val="000000"/>
          <w:sz w:val="23"/>
        </w:rPr>
        <w:t>amicus curiae</w:t>
      </w:r>
      <w:r>
        <w:rPr>
          <w:rFonts w:ascii="New Century Schoolbook" w:hAnsi="New Century Schoolbook" w:eastAsia="New Century Schoolbook" w:cs="New Century Schoolbook"/>
          <w:b w:val="0"/>
          <w:i w:val="0"/>
          <w:color w:val="000000"/>
          <w:sz w:val="23"/>
        </w:rPr>
        <w:t xml:space="preserve">, urges preservation of the action. Its experience confirms that derivative liability was neither novel nor incapable of judicial administration. But the Commission cannot create a private cause of action or determine its limits conclusively. The Commission urged a broader recklessness standard than we adopt. Tr. of Oral Arg. 44–46. Private damages litigation remains subject to limitations peculiar to the private action, including purchaser-seller standing, reliance on the primary deception, causation, proof of loss, and the heightened scienter required of the secondary defendant. Compare </w:t>
      </w:r>
      <w:r>
        <w:rPr>
          <w:rFonts w:ascii="New Century Schoolbook" w:hAnsi="New Century Schoolbook" w:eastAsia="New Century Schoolbook" w:cs="New Century Schoolbook"/>
          <w:b w:val="0"/>
          <w:i/>
          <w:color w:val="000000"/>
          <w:sz w:val="23"/>
        </w:rPr>
        <w:t>Aaron v. SEC</w:t>
      </w:r>
      <w:r>
        <w:rPr>
          <w:rFonts w:ascii="New Century Schoolbook" w:hAnsi="New Century Schoolbook" w:eastAsia="New Century Schoolbook" w:cs="New Century Schoolbook"/>
          <w:b w:val="0"/>
          <w:i w:val="0"/>
          <w:color w:val="000000"/>
          <w:sz w:val="23"/>
        </w:rPr>
        <w:t>, 446 U. S. 680, 691 (1980).</w:t>
      </w:r>
    </w:p>
    <w:p>
      <w:pPr>
        <w:pStyle w:val="OpinionBody"/>
        <w:keepNext w:val="0"/>
        <w:keepLines w:val="0"/>
      </w:pPr>
      <w:r>
        <w:rPr>
          <w:rFonts w:ascii="New Century Schoolbook" w:hAnsi="New Century Schoolbook" w:eastAsia="New Century Schoolbook" w:cs="New Century Schoolbook"/>
          <w:b w:val="0"/>
          <w:i w:val="0"/>
          <w:color w:val="000000"/>
          <w:sz w:val="23"/>
        </w:rPr>
        <w:t>We do not derive this civil rule from 18 U. S. C. § 2. That statute governs criminal attribution and supplies no private damages action. Nor do we derive it from the later Commodity Exchange Act provision, 7 U. S. C. § 25(a)(1). Later enactments may show that Congress sometimes writes derivative responsibility expressly, but they cannot enact the incidents of the 1934 private action by analogy alone.</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This case therefore differs from one in which a court is asked to enlarge an express remedial scheme because additional liability would advance a statute’s general purpose. See </w:t>
      </w:r>
      <w:r>
        <w:rPr>
          <w:rFonts w:ascii="New Century Schoolbook" w:hAnsi="New Century Schoolbook" w:eastAsia="New Century Schoolbook" w:cs="New Century Schoolbook"/>
          <w:b w:val="0"/>
          <w:i/>
          <w:color w:val="000000"/>
          <w:sz w:val="23"/>
        </w:rPr>
        <w:t>Mertens v. Hewitt Associates</w:t>
      </w:r>
      <w:r>
        <w:rPr>
          <w:rFonts w:ascii="New Century Schoolbook" w:hAnsi="New Century Schoolbook" w:eastAsia="New Century Schoolbook" w:cs="New Century Schoolbook"/>
          <w:b w:val="0"/>
          <w:i w:val="0"/>
          <w:color w:val="000000"/>
          <w:sz w:val="23"/>
        </w:rPr>
        <w:t>, 508 U. S. 248, 254–255 (1993). The securities laws’ protective purposes do not authorize us to create a general federal tort. Our conclusion rests instead upon the established § 10(b) action, the distinct wrong addressed by that action, the issue-specific use of statutory analogues in our cases, and a settled derivative construction that can be confined to the statute’s conduct rule.</w:t>
      </w:r>
    </w:p>
    <w:p>
      <w:pPr>
        <w:pStyle w:val="SectionHeading"/>
      </w:pPr>
      <w:r>
        <w:rPr>
          <w:rFonts w:ascii="New Century Schoolbook" w:hAnsi="New Century Schoolbook" w:eastAsia="New Century Schoolbook" w:cs="New Century Schoolbook"/>
          <w:b w:val="0"/>
          <w:i w:val="0"/>
          <w:color w:val="000000"/>
          <w:sz w:val="23"/>
        </w:rPr>
        <w:t>C</w:t>
      </w:r>
    </w:p>
    <w:p>
      <w:pPr>
        <w:pStyle w:val="OpinionBody"/>
        <w:keepNext w:val="0"/>
        <w:keepLines w:val="0"/>
      </w:pPr>
      <w:r>
        <w:rPr>
          <w:rFonts w:ascii="New Century Schoolbook" w:hAnsi="New Century Schoolbook" w:eastAsia="New Century Schoolbook" w:cs="New Century Schoolbook"/>
          <w:b w:val="0"/>
          <w:i w:val="0"/>
          <w:color w:val="000000"/>
          <w:sz w:val="23"/>
        </w:rPr>
        <w:t>The claim has three elements. Each is necessary, and none may be replaced by a conclusion that the defendant was important to the transaction or could have prevented the loss.</w:t>
      </w:r>
    </w:p>
    <w:p>
      <w:pPr>
        <w:pStyle w:val="OpinionBody"/>
        <w:keepNext w:val="0"/>
        <w:keepLines w:val="0"/>
      </w:pPr>
      <w:r>
        <w:rPr>
          <w:rFonts w:ascii="New Century Schoolbook" w:hAnsi="New Century Schoolbook" w:eastAsia="New Century Schoolbook" w:cs="New Century Schoolbook"/>
          <w:b w:val="0"/>
          <w:i w:val="0"/>
          <w:color w:val="000000"/>
          <w:sz w:val="23"/>
        </w:rPr>
        <w:t>First, the plaintiff must prove a completed primary violation of § 10(b) and Rule 10b–5. ‘Completed’ describes the required showing, not a sequence in which assistance must follow the fraud; assistance may occur while the primary violation is being carried out. Every element of that violation remains the plaintiff’s burden. The primary actor must have used a manipulative or deceptive device with the required scienter, in connection with the purchase or sale of a security. The private plaintiff must establish materiality, reliance, causation, and damages under the standards governing the primary claim. If the primary claim fails, derivative liability fails with it.</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Second, the secondary defendant must have known of that violation or acted with conscious recklessness approaching actual knowledge. </w:t>
      </w:r>
      <w:r>
        <w:rPr>
          <w:rFonts w:ascii="New Century Schoolbook" w:hAnsi="New Century Schoolbook" w:eastAsia="New Century Schoolbook" w:cs="New Century Schoolbook"/>
          <w:b w:val="0"/>
          <w:i/>
          <w:color w:val="000000"/>
          <w:sz w:val="23"/>
        </w:rPr>
        <w:t>Hochfelder</w:t>
      </w:r>
      <w:r>
        <w:rPr>
          <w:rFonts w:ascii="New Century Schoolbook" w:hAnsi="New Century Schoolbook" w:eastAsia="New Century Schoolbook" w:cs="New Century Schoolbook"/>
          <w:b w:val="0"/>
          <w:i w:val="0"/>
          <w:color w:val="000000"/>
          <w:sz w:val="23"/>
        </w:rPr>
        <w:t xml:space="preserve"> left open whether recklessness satisfies the primary scienter requirement. 425 U. S., at 193, n. 12. We need not decide that broader question here. Derivative liability presents the added danger that negligence concerning a transaction will be redescribed as assistance to another’s fraud. The secondary state of mind must therefore show subjective awareness of a probability that the primary violation was occurring, followed by conscious disregard of that probability. An extreme departure from ordinary care, without that awareness, is insufficient.</w:t>
      </w:r>
    </w:p>
    <w:p>
      <w:pPr>
        <w:pStyle w:val="OpinionBody"/>
        <w:keepNext w:val="0"/>
        <w:keepLines w:val="0"/>
      </w:pPr>
      <w:r>
        <w:rPr>
          <w:rFonts w:ascii="New Century Schoolbook" w:hAnsi="New Century Schoolbook" w:eastAsia="New Century Schoolbook" w:cs="New Century Schoolbook"/>
          <w:b w:val="0"/>
          <w:i w:val="0"/>
          <w:color w:val="000000"/>
          <w:sz w:val="23"/>
        </w:rPr>
        <w:t>Knowledge must concern the violation, not merely a fact later associated with it. Awareness that an appraisal is old, that a valuation is optimistic, or that a transaction carries unusual risk does not alone establish awareness of a manipulative or deceptive scheme. The plaintiff must connect what the secondary defendant knew to the primary actor’s fraud. Size, professional expertise, access to information, or institutional importance cannot fill that evidentiary gap.</w:t>
      </w:r>
    </w:p>
    <w:p>
      <w:pPr>
        <w:pStyle w:val="OpinionBody"/>
        <w:keepNext w:val="0"/>
        <w:keepLines w:val="0"/>
      </w:pPr>
      <w:r>
        <w:rPr>
          <w:rFonts w:ascii="New Century Schoolbook" w:hAnsi="New Century Schoolbook" w:eastAsia="New Century Schoolbook" w:cs="New Century Schoolbook"/>
          <w:b w:val="0"/>
          <w:i w:val="0"/>
          <w:color w:val="000000"/>
          <w:sz w:val="23"/>
        </w:rPr>
        <w:t>Third, the defendant must have rendered substantial assistance that materially facilitated the violation. Assistance is substantial when, in context, it made the primary fraud materially easier to commit or continue. Routine services, arm’s-length performance of an existing obligation, association with the primary actor, or mere presence in the transaction do not suffice. The question is what the defendant did, how that conduct affected the completed fraud, and whether the asserted effect is proved rather than assumed.</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Where the alleged assistance consists of an omission, the plaintiff must identify a defined, transaction-specific responsibility requiring the defendant to act. Silence is not fraud without a duty arising from a relationship of trust and confidence or another legally defined obligation. </w:t>
      </w:r>
      <w:r>
        <w:rPr>
          <w:rFonts w:ascii="New Century Schoolbook" w:hAnsi="New Century Schoolbook" w:eastAsia="New Century Schoolbook" w:cs="New Century Schoolbook"/>
          <w:b w:val="0"/>
          <w:i/>
          <w:color w:val="000000"/>
          <w:sz w:val="23"/>
        </w:rPr>
        <w:t>Chiarella v. United States</w:t>
      </w:r>
      <w:r>
        <w:rPr>
          <w:rFonts w:ascii="New Century Schoolbook" w:hAnsi="New Century Schoolbook" w:eastAsia="New Century Schoolbook" w:cs="New Century Schoolbook"/>
          <w:b w:val="0"/>
          <w:i w:val="0"/>
          <w:color w:val="000000"/>
          <w:sz w:val="23"/>
        </w:rPr>
        <w:t xml:space="preserve">, 445 U. S. 222, 228, 232–235 (1980); </w:t>
      </w:r>
      <w:r>
        <w:rPr>
          <w:rFonts w:ascii="New Century Schoolbook" w:hAnsi="New Century Schoolbook" w:eastAsia="New Century Schoolbook" w:cs="New Century Schoolbook"/>
          <w:b w:val="0"/>
          <w:i/>
          <w:color w:val="000000"/>
          <w:sz w:val="23"/>
        </w:rPr>
        <w:t>Dirks v. SEC</w:t>
      </w:r>
      <w:r>
        <w:rPr>
          <w:rFonts w:ascii="New Century Schoolbook" w:hAnsi="New Century Schoolbook" w:eastAsia="New Century Schoolbook" w:cs="New Century Schoolbook"/>
          <w:b w:val="0"/>
          <w:i w:val="0"/>
          <w:color w:val="000000"/>
          <w:sz w:val="23"/>
        </w:rPr>
        <w:t>, 463 U. S. 646, 654–655 (1983). Derivative language cannot turn every person able to warn or intervene into a guarantor against another’s deception. The responsibility must attach to this defendant, in this transaction, and to the action allegedly withheld.</w:t>
      </w:r>
    </w:p>
    <w:p>
      <w:pPr>
        <w:pStyle w:val="OpinionBody"/>
        <w:keepNext w:val="0"/>
        <w:keepLines w:val="0"/>
      </w:pPr>
      <w:r>
        <w:rPr>
          <w:rFonts w:ascii="New Century Schoolbook" w:hAnsi="New Century Schoolbook" w:eastAsia="New Century Schoolbook" w:cs="New Century Schoolbook"/>
          <w:b w:val="0"/>
          <w:i w:val="0"/>
          <w:color w:val="000000"/>
          <w:sz w:val="23"/>
        </w:rPr>
        <w:t>Affirmative assistance is different. A defendant who knowingly takes an act that materially facilitates the primary violation cannot demand dismissal merely because no independent duty required abstention. The act itself supplies the alleged assistance. Even then, knowledge and material facilitation must be proved. Conduct that is only coincident with the fraud, or that would have occurred in an ordinary transaction on the same terms, is not substantial assistance merely because the primary actor misused it.</w:t>
      </w:r>
    </w:p>
    <w:p>
      <w:pPr>
        <w:pStyle w:val="OpinionBody"/>
        <w:keepNext w:val="0"/>
        <w:keepLines w:val="0"/>
      </w:pPr>
      <w:r>
        <w:rPr>
          <w:rFonts w:ascii="New Century Schoolbook" w:hAnsi="New Century Schoolbook" w:eastAsia="New Century Schoolbook" w:cs="New Century Schoolbook"/>
          <w:b w:val="0"/>
          <w:i w:val="0"/>
          <w:color w:val="000000"/>
          <w:sz w:val="23"/>
        </w:rPr>
        <w:t>The burden remains with the plaintiff at every stage. Proof of the primary violation does not shift the burden to the secondary defendant to prove independence or good faith. Proof of knowledge does not presume assistance, and proof of assistance does not presume knowledge. Reliance upon the primary deception, the causal connection to the securities transaction and claimed injury, and damages must still be shown. A label cannot perform the analysis.</w:t>
      </w:r>
    </w:p>
    <w:p>
      <w:pPr>
        <w:pStyle w:val="OpinionBody"/>
        <w:keepNext w:val="0"/>
        <w:keepLines w:val="0"/>
      </w:pPr>
      <w:r>
        <w:rPr>
          <w:rFonts w:ascii="New Century Schoolbook" w:hAnsi="New Century Schoolbook" w:eastAsia="New Century Schoolbook" w:cs="New Century Schoolbook"/>
          <w:b w:val="0"/>
          <w:i w:val="0"/>
          <w:color w:val="000000"/>
          <w:sz w:val="23"/>
        </w:rPr>
        <w:t>These limits also answer the concern that derivative liability may subject banks, accountants, lawyers, trustees, and other professionals to uncertain liability because they perform ordinary work near a fraud. The defendant’s occupation does not create immunity, but neither does it create an element. The rule reaches only a completed statutory violation knowingly or near-knowingly facilitated in a material way. An asserted statutory purpose cannot turn negligence, corporate mismanagement, or ordinary unfairness into securities fraud.</w:t>
      </w:r>
    </w:p>
    <w:p>
      <w:pPr>
        <w:pStyle w:val="OpinionBody"/>
        <w:keepNext w:val="0"/>
        <w:keepLines w:val="0"/>
      </w:pPr>
      <w:r>
        <w:rPr>
          <w:rFonts w:ascii="New Century Schoolbook" w:hAnsi="New Century Schoolbook" w:eastAsia="New Century Schoolbook" w:cs="New Century Schoolbook"/>
          <w:b w:val="0"/>
          <w:i w:val="0"/>
          <w:color w:val="000000"/>
          <w:sz w:val="23"/>
        </w:rPr>
        <w:t xml:space="preserve">The Court’s task is to state the legal boundary, not to balance away a statutory claim because litigation can be costly. Costs and settlement pressure are relevant to the precision with which an implied action must be confined. </w:t>
      </w:r>
      <w:r>
        <w:rPr>
          <w:rFonts w:ascii="New Century Schoolbook" w:hAnsi="New Century Schoolbook" w:eastAsia="New Century Schoolbook" w:cs="New Century Schoolbook"/>
          <w:b w:val="0"/>
          <w:i/>
          <w:color w:val="000000"/>
          <w:sz w:val="23"/>
        </w:rPr>
        <w:t>Blue Chip Stamps</w:t>
      </w:r>
      <w:r>
        <w:rPr>
          <w:rFonts w:ascii="New Century Schoolbook" w:hAnsi="New Century Schoolbook" w:eastAsia="New Century Schoolbook" w:cs="New Century Schoolbook"/>
          <w:b w:val="0"/>
          <w:i w:val="0"/>
          <w:color w:val="000000"/>
          <w:sz w:val="23"/>
        </w:rPr>
        <w:t>, 421 U. S., at 737–749. They do not authorize abandonment of a settled, workable construction that remains within the conduct rule. The elements stated today provide the required boundary.</w:t>
      </w:r>
    </w:p>
    <w:p>
      <w:pPr>
        <w:pStyle w:val="SectionHeading"/>
      </w:pPr>
      <w:r>
        <w:rPr>
          <w:rFonts w:ascii="New Century Schoolbook" w:hAnsi="New Century Schoolbook" w:eastAsia="New Century Schoolbook" w:cs="New Century Schoolbook"/>
          <w:b w:val="0"/>
          <w:i w:val="0"/>
          <w:color w:val="000000"/>
          <w:sz w:val="23"/>
        </w:rPr>
        <w:t>III</w:t>
      </w:r>
    </w:p>
    <w:p>
      <w:pPr>
        <w:pStyle w:val="OpinionBody"/>
        <w:keepNext w:val="0"/>
        <w:keepLines w:val="0"/>
      </w:pPr>
      <w:r>
        <w:rPr>
          <w:rFonts w:ascii="New Century Schoolbook" w:hAnsi="New Century Schoolbook" w:eastAsia="New Century Schoolbook" w:cs="New Century Schoolbook"/>
          <w:b w:val="0"/>
          <w:i w:val="0"/>
          <w:color w:val="000000"/>
          <w:sz w:val="23"/>
        </w:rPr>
        <w:t>The Court of Appeals correctly concluded that derivative liability was not categorically unavailable. Its application, however, cannot be reconciled with the limits we have stated.</w:t>
      </w:r>
    </w:p>
    <w:p>
      <w:pPr>
        <w:pStyle w:val="OpinionBody"/>
        <w:keepNext w:val="0"/>
        <w:keepLines w:val="0"/>
      </w:pPr>
      <w:r>
        <w:rPr>
          <w:rFonts w:ascii="New Century Schoolbook" w:hAnsi="New Century Schoolbook" w:eastAsia="New Century Schoolbook" w:cs="New Century Schoolbook"/>
          <w:b w:val="0"/>
          <w:i w:val="0"/>
          <w:color w:val="000000"/>
          <w:sz w:val="23"/>
        </w:rPr>
        <w:t>The court defined recklessness by an extreme departure from the standards of ordinary care, coupled with a danger of misleading investors that was known or so obvious the defendant must have been aware of it. 969 F. 2d, at 899. That formulation leaves too little distance between negligence and the state of mind required of a secondary defendant. The factfinder must determine subjective awareness of a probability that the primary violation was occurring and conscious disregard of that probability. The inquiry is not whether a reasonable indenture trustee would have obtained a new appraisal sooner.</w:t>
      </w:r>
    </w:p>
    <w:p>
      <w:pPr>
        <w:pStyle w:val="OpinionBody"/>
        <w:keepNext w:val="0"/>
        <w:keepLines w:val="0"/>
      </w:pPr>
      <w:r>
        <w:rPr>
          <w:rFonts w:ascii="New Century Schoolbook" w:hAnsi="New Century Schoolbook" w:eastAsia="New Century Schoolbook" w:cs="New Century Schoolbook"/>
          <w:b w:val="0"/>
          <w:i w:val="0"/>
          <w:color w:val="000000"/>
          <w:sz w:val="23"/>
        </w:rPr>
        <w:t>The evidence described by the Court of Appeals shows that the underwriter questioned the appraisal and that Central Bank’s in-house appraiser regarded the values as optimistic. It also shows that Central Bank first required an independent review and later permitted delay. Those facts may support competing inferences. They do not establish, without further proof, that Central Bank knew the other defendants were committing a deceptive securities violation or consciously disregarded a probability approaching such knowledge. Concern about collateral sufficiency is not automatically knowledge of securities fraud.</w:t>
      </w:r>
    </w:p>
    <w:p>
      <w:pPr>
        <w:pStyle w:val="OpinionBody"/>
        <w:keepNext w:val="0"/>
        <w:keepLines w:val="0"/>
      </w:pPr>
      <w:r>
        <w:rPr>
          <w:rFonts w:ascii="New Century Schoolbook" w:hAnsi="New Century Schoolbook" w:eastAsia="New Century Schoolbook" w:cs="New Century Schoolbook"/>
          <w:b w:val="0"/>
          <w:i w:val="0"/>
          <w:color w:val="000000"/>
          <w:sz w:val="23"/>
        </w:rPr>
        <w:t>The character of the alleged assistance also must be fixed. If respondents rely upon Central Bank’s agreement to postpone the independent review as an affirmative act, the absence of an independent disclosure duty does not categorically defeat the claim. They must prove that the agreement materially facilitated the completed primary fraud and that Central Bank acted with the required state of mind. The timing of the closing, the effect of the postponed review, the additional collateral associated with the 1986 issue, the certifications supplied at closing, and Central Bank’s understanding of those matters may bear upon the inquiry.</w:t>
      </w:r>
    </w:p>
    <w:p>
      <w:pPr>
        <w:pStyle w:val="OpinionBody"/>
        <w:keepNext w:val="0"/>
        <w:keepLines w:val="0"/>
      </w:pPr>
      <w:r>
        <w:rPr>
          <w:rFonts w:ascii="New Century Schoolbook" w:hAnsi="New Century Schoolbook" w:eastAsia="New Century Schoolbook" w:cs="New Century Schoolbook"/>
          <w:b w:val="0"/>
          <w:i w:val="0"/>
          <w:color w:val="000000"/>
          <w:sz w:val="23"/>
        </w:rPr>
        <w:t>If the theory is instead that Central Bank failed to insist upon a review, failed to disclose its concerns, or failed to prevent the closing, respondents must identify a defined, transaction-specific responsibility requiring that action. The Court of Appeals concluded that the indenture imposed no general disclosure duty to the bond purchasers. 969 F. 2d, at 898. Respondents may not avoid that conclusion by calling an omission substantial assistance. Any other asserted responsibility must be identified and proved under the governing law.</w:t>
      </w:r>
    </w:p>
    <w:p>
      <w:pPr>
        <w:pStyle w:val="OpinionBody"/>
        <w:keepNext w:val="0"/>
        <w:keepLines w:val="0"/>
      </w:pPr>
      <w:r>
        <w:rPr>
          <w:rFonts w:ascii="New Century Schoolbook" w:hAnsi="New Century Schoolbook" w:eastAsia="New Century Schoolbook" w:cs="New Century Schoolbook"/>
          <w:b w:val="0"/>
          <w:i w:val="0"/>
          <w:color w:val="000000"/>
          <w:sz w:val="23"/>
        </w:rPr>
        <w:t>Nor may the material effect of the alleged assistance be assumed from Central Bank’s position as indenture trustee. Respondents must show how the challenged act made the primary violation materially easier to commit or continue. Central Bank’s size, professional importance, access to information, and ability to request an appraisal do not substitute for that connection. The same is true of causation and damages.</w:t>
      </w:r>
    </w:p>
    <w:p>
      <w:pPr>
        <w:pStyle w:val="OpinionBody"/>
        <w:keepNext w:val="0"/>
        <w:keepLines w:val="0"/>
      </w:pPr>
      <w:r>
        <w:rPr>
          <w:rFonts w:ascii="New Century Schoolbook" w:hAnsi="New Century Schoolbook" w:eastAsia="New Century Schoolbook" w:cs="New Century Schoolbook"/>
          <w:b w:val="0"/>
          <w:i w:val="0"/>
          <w:color w:val="000000"/>
          <w:sz w:val="23"/>
        </w:rPr>
        <w:t>The case comes to us after summary judgment, and the lower courts applied a different legal standard. We do not choose among the competing inferences, determine the content of any transaction-specific responsibility not yet resolved, or decide whether the evidence is sufficient under the rule stated today. Those questions belong in the first instance to the courts familiar with the record.</w:t>
      </w:r>
    </w:p>
    <w:p>
      <w:pPr>
        <w:pStyle w:val="OpinionBody"/>
        <w:keepNext w:val="0"/>
        <w:keepLines w:val="0"/>
      </w:pPr>
      <w:r>
        <w:rPr>
          <w:rFonts w:ascii="New Century Schoolbook" w:hAnsi="New Century Schoolbook" w:eastAsia="New Century Schoolbook" w:cs="New Century Schoolbook"/>
          <w:b w:val="0"/>
          <w:i w:val="0"/>
          <w:color w:val="000000"/>
          <w:sz w:val="23"/>
        </w:rPr>
        <w:t>The record does not present a theory of primary liability against Central Bank. Respondents conceded at oral argument that Central Bank itself committed no manipulative or deceptive act within the meaning of § 10(b). Tr. of Oral Arg. 31. We therefore express no view on primary liability. Nothing in this opinion permits a plaintiff to evade the limits on derivative liability by relabeling assistance as primary deception, or to evade the limits on primary liability by relabeling a defendant an aider and abettor.</w:t>
      </w:r>
    </w:p>
    <w:p>
      <w:pPr>
        <w:pStyle w:val="SectionHeading"/>
      </w:pPr>
      <w:r>
        <w:rPr>
          <w:rFonts w:ascii="New Century Schoolbook" w:hAnsi="New Century Schoolbook" w:eastAsia="New Century Schoolbook" w:cs="New Century Schoolbook"/>
          <w:b w:val="0"/>
          <w:i w:val="0"/>
          <w:color w:val="000000"/>
          <w:sz w:val="23"/>
        </w:rPr>
        <w:t>IV</w:t>
      </w:r>
    </w:p>
    <w:p>
      <w:pPr>
        <w:pStyle w:val="OpinionBody"/>
        <w:keepNext w:val="0"/>
        <w:keepLines w:val="0"/>
      </w:pPr>
      <w:r>
        <w:rPr>
          <w:rFonts w:ascii="New Century Schoolbook" w:hAnsi="New Century Schoolbook" w:eastAsia="New Century Schoolbook" w:cs="New Century Schoolbook"/>
          <w:b w:val="0"/>
          <w:i w:val="0"/>
          <w:color w:val="000000"/>
          <w:sz w:val="23"/>
        </w:rPr>
        <w:t>The private § 10(b) action permits derivative liability only for knowing or near-knowing substantial assistance that materially facilitates a completed primary violation. The Court of Appeals preserved the claim but applied a recklessness formulation broad enough to reach an extreme departure from ordinary care. Its judgment must therefore be vacated.</w:t>
      </w:r>
    </w:p>
    <w:p>
      <w:pPr>
        <w:pStyle w:val="OpinionBody"/>
        <w:keepNext w:val="0"/>
        <w:keepLines w:val="0"/>
      </w:pPr>
      <w:r>
        <w:rPr>
          <w:rFonts w:ascii="New Century Schoolbook" w:hAnsi="New Century Schoolbook" w:eastAsia="New Century Schoolbook" w:cs="New Century Schoolbook"/>
          <w:b w:val="0"/>
          <w:i w:val="0"/>
          <w:color w:val="000000"/>
          <w:sz w:val="23"/>
        </w:rPr>
        <w:t>We do not hold that Central Bank is liable. We do not decide any theory of primary liability. On remand, the courts shall apply the elements and burdens stated in this opinion to the record and shall conduct any further proceedings consistent with that rule.</w:t>
      </w:r>
    </w:p>
    <w:p>
      <w:pPr>
        <w:pStyle w:val="OpinionBody"/>
        <w:keepNext w:val="0"/>
        <w:keepLines/>
        <w:spacing w:before="242"/>
      </w:pPr>
      <w:r>
        <w:rPr>
          <w:rFonts w:ascii="New Century Schoolbook" w:hAnsi="New Century Schoolbook" w:eastAsia="New Century Schoolbook" w:cs="New Century Schoolbook"/>
          <w:b w:val="0"/>
          <w:i w:val="0"/>
          <w:color w:val="000000"/>
          <w:sz w:val="23"/>
        </w:rPr>
        <w:t>The judgment of the Court of Appeals for the Tenth Circuit is vacated, and the case is remanded for further proceedings consistent with this opinion.</w:t>
      </w:r>
    </w:p>
    <w:p>
      <w:pPr>
        <w:pStyle w:val="OpinionBody"/>
        <w:keepNext w:val="0"/>
        <w:keepLines/>
        <w:spacing w:before="120"/>
        <w:ind w:firstLine="0"/>
        <w:jc w:val="center"/>
      </w:pPr>
      <w:r>
        <w:rPr>
          <w:rFonts w:ascii="New Century Schoolbook" w:hAnsi="New Century Schoolbook" w:eastAsia="New Century Schoolbook" w:cs="New Century Schoolbook"/>
          <w:b w:val="0"/>
          <w:i/>
          <w:color w:val="000000"/>
          <w:sz w:val="23"/>
        </w:rPr>
        <w:t>It is so ordered.</w:t>
      </w:r>
    </w:p>
    <w:sectPr w:rsidR="00FC693F" w:rsidRPr="0006063C" w:rsidSect="00034616">
      <w:headerReference w:type="first" r:id="rId15"/>
      <w:headerReference w:type="default" r:id="rId16"/>
      <w:headerReference w:type="even" r:id="rId17"/>
      <w:footerReference w:type="first" r:id="rId18"/>
      <w:footerReference w:type="default" r:id="rId19"/>
      <w:footerReference w:type="even" r:id="rId20"/>
      <w:pgSz w:w="8640" w:h="12960"/>
      <w:pgMar w:top="1368" w:right="1440" w:bottom="1181" w:left="1440" w:header="446" w:footer="403" w:gutter="0"/>
      <w:cols w:space="720"/>
      <w:titlePg/>
      <w:docGrid w:linePitch="360"/>
      <w:pgNumType w:start="1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smallCaps w:val="1"/>
      </w:rPr>
      <w:t>OCTOBER TERM, 1993</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Syllabus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CENTRAL BANK OF DENVER, N. A. v. FIRST</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INTERSTATE BANK OF DENVER, N. A.</w:t>
    </w:r>
  </w:p>
  <w:p>
    <w:pPr>
      <w:spacing w:before="0" w:after="0" w:lineRule="exact" w:line="184"/>
      <w:jc w:val="center"/>
    </w:pPr>
    <w:r>
      <w:rPr>
        <w:rFonts w:ascii="New Century Schoolbook" w:hAnsi="New Century Schoolbook" w:eastAsia="New Century Schoolbook" w:cs="New Century Schoolbook"/>
        <w:b w:val="0"/>
        <w:i w:val="0"/>
        <w:color w:val="000000"/>
        <w:sz w:val="16"/>
      </w:rPr>
      <w:t>Syllabus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511 U. S. 164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Syllabus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CENTRAL BANK OF DENVER, N. A. v. FIRST</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INTERSTATE BANK OF DENVER, N. A.</w:t>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CENTRAL BANK OF DENVER, N. A. v. FIRST</w:t>
    </w:r>
    <w:r>
      <w:rPr>
        <w:rFonts w:ascii="New Century Schoolbook" w:hAnsi="New Century Schoolbook" w:eastAsia="New Century Schoolbook" w:cs="New Century Schoolbook"/>
        <w:b w:val="0"/>
        <w:i w:val="0"/>
        <w:color w:val="000000"/>
        <w:sz w:val="16"/>
      </w:rPr>
      <w:tab/>
    </w:r>
  </w:p>
  <w:p>
    <w:pPr>
      <w:spacing w:before="0" w:after="0" w:lineRule="exact" w:line="184"/>
      <w:jc w:val="center"/>
    </w:pPr>
    <w:r>
      <w:rPr>
        <w:rFonts w:ascii="New Century Schoolbook" w:hAnsi="New Century Schoolbook" w:eastAsia="New Century Schoolbook" w:cs="New Century Schoolbook"/>
        <w:b w:val="0"/>
        <w:i w:val="0"/>
        <w:color w:val="000000"/>
        <w:sz w:val="16"/>
      </w:rPr>
      <w:t>INTERSTATE BANK OF DENVER, N. A.</w:t>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Rule="exact" w:line="184"/>
      <w:tabs>
        <w:tab w:val="center" w:pos="2880"/>
        <w:tab w:val="right" w:pos="5760"/>
      </w:tabs>
    </w:pPr>
    <w:r>
      <w:rPr>
        <w:rFonts w:ascii="New Century Schoolbook" w:hAnsi="New Century Schoolbook" w:eastAsia="New Century Schoolbook" w:cs="New Century Schoolbook"/>
        <w:b w:val="0"/>
        <w:i/>
        <w:color w:val="000000"/>
        <w:sz w:val="16"/>
      </w:rPr>
      <w:t>Cite as: 511 U. S. 164 (1994)</w:t>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tab/>
    </w:r>
    <w:r>
      <w:rPr>
        <w:rFonts w:ascii="New Century Schoolbook" w:hAnsi="New Century Schoolbook" w:eastAsia="New Century Schoolbook" w:cs="New Century Schoolbook"/>
        <w:b w:val="0"/>
        <w:i w:val="0"/>
        <w:color w:val="000000"/>
        <w:sz w:val="16"/>
      </w:rPr>
      <w:fldChar w:fldCharType="begin"/>
      <w:instrText xml:space="preserve"> PAGE </w:instrText>
      <w:fldChar w:fldCharType="separate"/>
      <w:t>1</w:t>
      <w:fldChar w:fldCharType="end"/>
    </w:r>
  </w:p>
  <w:p>
    <w:pPr>
      <w:spacing w:before="0" w:after="0" w:lineRule="exact" w:line="184"/>
      <w:jc w:val="center"/>
    </w:pPr>
    <w:r>
      <w:rPr>
        <w:rFonts w:ascii="New Century Schoolbook" w:hAnsi="New Century Schoolbook" w:eastAsia="New Century Schoolbook" w:cs="New Century Schoolbook"/>
        <w:b w:val="0"/>
        <w:i w:val="0"/>
        <w:color w:val="000000"/>
        <w:sz w:val="16"/>
      </w:rPr>
      <w:t>Opinion of the Court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300"/>
      <w:ind w:firstLine="230"/>
      <w:jc w:val="both"/>
    </w:pPr>
    <w:rPr>
      <w:rFonts w:ascii="New Century Schoolbook" w:hAnsi="New Century Schoolbook"/>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0" w:lineRule="exact" w:before="0" w:after="0"/>
      <w:ind w:firstLine="0"/>
      <w:jc w:val="center"/>
    </w:pPr>
    <w:rPr>
      <w:rFonts w:ascii="New Century Schoolbook" w:hAnsi="New Century Schoolbook"/>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llabusBody">
    <w:name w:val="Syllabus Body"/>
    <w:basedOn w:val="Normal"/>
    <w:pPr>
      <w:spacing w:before="0" w:after="0" w:lineRule="exact" w:line="212"/>
      <w:ind w:firstLine="184"/>
      <w:jc w:val="both"/>
    </w:pPr>
    <w:rPr>
      <w:rFonts w:ascii="New Century Schoolbook" w:hAnsi="New Century Schoolbook"/>
      <w:sz w:val="18"/>
    </w:rPr>
  </w:style>
  <w:style w:type="paragraph" w:customStyle="1" w:styleId="SyllabusHolding">
    <w:name w:val="Syllabus Holding"/>
    <w:basedOn w:val="Normal"/>
    <w:pPr>
      <w:spacing w:before="0" w:after="0" w:lineRule="exact" w:line="212"/>
      <w:ind w:firstLine="0"/>
      <w:jc w:val="both"/>
    </w:pPr>
    <w:rPr>
      <w:rFonts w:ascii="New Century Schoolbook" w:hAnsi="New Century Schoolbook"/>
      <w:sz w:val="18"/>
    </w:rPr>
  </w:style>
  <w:style w:type="paragraph" w:customStyle="1" w:styleId="SyllabusSmall">
    <w:name w:val="Syllabus Small"/>
    <w:basedOn w:val="Normal"/>
    <w:pPr>
      <w:spacing w:before="0" w:after="0" w:lineRule="exact" w:line="168"/>
      <w:ind w:firstLine="0"/>
      <w:jc w:val="both"/>
    </w:pPr>
    <w:rPr>
      <w:rFonts w:ascii="New Century Schoolbook" w:hAnsi="New Century Schoolbook"/>
      <w:sz w:val="14"/>
    </w:rPr>
  </w:style>
  <w:style w:type="paragraph" w:customStyle="1" w:styleId="OpinionBody">
    <w:name w:val="Opinion Body"/>
    <w:basedOn w:val="Normal"/>
    <w:pPr>
      <w:spacing w:before="0" w:after="0" w:lineRule="exact" w:line="300"/>
      <w:ind w:firstLine="230"/>
      <w:jc w:val="both"/>
    </w:pPr>
    <w:rPr>
      <w:rFonts w:ascii="New Century Schoolbook" w:hAnsi="New Century Schoolbook"/>
      <w:sz w:val="23"/>
    </w:rPr>
  </w:style>
  <w:style w:type="paragraph" w:customStyle="1" w:styleId="CourtName">
    <w:name w:val="Court Name"/>
    <w:basedOn w:val="Normal"/>
    <w:pPr>
      <w:spacing w:before="0" w:after="0" w:lineRule="exact" w:line="290"/>
      <w:ind w:firstLine="0"/>
      <w:jc w:val="center"/>
    </w:pPr>
    <w:rPr>
      <w:rFonts w:ascii="New Century Schoolbook" w:hAnsi="New Century Schoolbook"/>
      <w:sz w:val="25"/>
    </w:rPr>
  </w:style>
  <w:style w:type="paragraph" w:customStyle="1" w:styleId="Jurisdiction">
    <w:name w:val="Jurisdiction"/>
    <w:basedOn w:val="Normal"/>
    <w:pPr>
      <w:spacing w:before="0" w:after="0" w:lineRule="exact" w:line="202"/>
      <w:ind w:firstLine="0"/>
      <w:jc w:val="center"/>
    </w:pPr>
    <w:rPr>
      <w:rFonts w:ascii="New Century Schoolbook" w:hAnsi="New Century Schoolbook"/>
      <w:sz w:val="17"/>
    </w:rPr>
  </w:style>
  <w:style w:type="paragraph" w:customStyle="1" w:styleId="SectionHeading">
    <w:name w:val="Section Heading"/>
    <w:basedOn w:val="Normal"/>
    <w:pPr>
      <w:keepNext/>
      <w:spacing w:before="300" w:after="300" w:lineRule="exact" w:line="300"/>
      <w:ind w:firstLine="0"/>
      <w:jc w:val="center"/>
    </w:pPr>
    <w:rPr>
      <w:rFonts w:ascii="New Century Schoolbook" w:hAnsi="New Century Schoolbook"/>
      <w:sz w:val="23"/>
    </w:rPr>
  </w:style>
  <w:style w:type="paragraph" w:customStyle="1" w:styleId="DeliveryLine">
    <w:name w:val="Delivery Line"/>
    <w:basedOn w:val="Normal"/>
    <w:pPr>
      <w:spacing w:before="0" w:after="0" w:lineRule="exact" w:line="300"/>
      <w:ind w:firstLine="0"/>
      <w:jc w:val="both"/>
    </w:pPr>
    <w:rPr>
      <w:rFonts w:ascii="New Century Schoolbook" w:hAnsi="New Century Schoolbook"/>
      <w:sz w:val="23"/>
    </w:rPr>
  </w:style>
  <w:style w:type="paragraph" w:customStyle="1" w:styleId="FootnoteText">
    <w:name w:val="Footnote Text"/>
    <w:basedOn w:val="Normal"/>
    <w:pPr>
      <w:widowControl w:val="0"/>
      <w:spacing w:before="0" w:after="0" w:lineRule="exact" w:line="216"/>
      <w:ind w:firstLine="0"/>
      <w:jc w:val="both"/>
    </w:pPr>
    <w:rPr>
      <w:rFonts w:ascii="New Century Schoolbook" w:hAnsi="New Century Schoolbook"/>
      <w:sz w:val="18"/>
    </w:rPr>
  </w:style>
  <w:style w:type="character" w:customStyle="1" w:styleId="FootnoteReference">
    <w:name w:val="Footnote Reference"/>
    <w:rPr>
      <w:rFonts w:ascii="New Century Schoolbook" w:hAnsi="New Century Schoolbook"/>
      <w:sz w:val="14"/>
      <w:vertAlign w:val="superscript"/>
    </w:rPr>
  </w:style>
  <w:style w:type="paragraph" w:customStyle="1" w:styleId="CounselBody">
    <w:name w:val="Counsel Body"/>
    <w:basedOn w:val="Normal"/>
    <w:pPr>
      <w:spacing w:lineRule="exact" w:line="202" w:before="0" w:after="0"/>
      <w:ind w:firstLine="176"/>
      <w:jc w:val="both"/>
    </w:pPr>
    <w:rPr>
      <w:rFonts w:ascii="New Century Schoolbook" w:hAnsi="New Century Schoolbook"/>
      <w:sz w:val="17"/>
    </w:rPr>
  </w:style>
  <w:style w:type="paragraph" w:customStyle="1" w:styleId="CounselSmall">
    <w:name w:val="Counsel Small"/>
    <w:basedOn w:val="Normal"/>
    <w:pPr>
      <w:spacing w:lineRule="exact" w:line="168" w:before="0" w:after="0"/>
      <w:ind w:firstLine="150"/>
      <w:jc w:val="both"/>
    </w:pPr>
    <w:rPr>
      <w:rFonts w:ascii="New Century Schoolbook" w:hAnsi="New Century Schoolbook"/>
      <w:sz w:val="15"/>
    </w:rPr>
  </w:style>
  <w:style w:type="paragraph" w:customStyle="1" w:styleId="BlockQuote">
    <w:name w:val="Block Quote"/>
    <w:basedOn w:val="Normal"/>
    <w:pPr>
      <w:spacing w:lineRule="exact" w:line="260" w:before="0" w:after="0"/>
      <w:ind w:firstLine="0" w:left="317" w:right="216"/>
      <w:jc w:val="both"/>
    </w:pPr>
    <w:rPr>
      <w:rFonts w:ascii="New Century Schoolbook" w:hAnsi="New Century Schoolbook"/>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Bank of Denver v. First Interstate Bank of Denver, 511 U. S. 164 (1994), Simulated Stone-Zsela Majority</dc:title>
  <dc:subject>Counterfactual Supreme Court majority opinion, October Term 1993</dc:subject>
  <dc:creator>Supreme Court of the United States (simulation)</dc:creator>
  <cp:keywords>Central Bank; Rule 10b-5; aiding and abetting; securities fraud; 1994; simulation</cp:keywords>
  <dc:description>Rewritten period facsimile; authorities and record facts limited to materials available by April 19, 1994.</dc:description>
  <cp:lastModifiedBy/>
  <cp:revision>1</cp:revision>
  <dcterms:created xsi:type="dcterms:W3CDTF">2013-12-23T23:15:00Z</dcterms:created>
  <dcterms:modified xsi:type="dcterms:W3CDTF">2013-12-23T23:15:00Z</dcterms:modified>
  <cp:category/>
</cp:coreProperties>
</file>