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urtName"/>
        <w:keepNext/>
      </w:pPr>
      <w:r>
        <w:rPr>
          <w:rFonts w:ascii="Times New Roman" w:hAnsi="Times New Roman" w:eastAsia="Times New Roman" w:cs="Times New Roman"/>
          <w:b/>
          <w:i w:val="0"/>
          <w:color w:val="000000"/>
          <w:sz w:val="25"/>
        </w:rPr>
        <w:t>SUPREME COURT OF THE UNITED STATES</w:t>
      </w:r>
    </w:p>
    <w:p>
      <w:pPr>
        <w:pStyle w:val="Jurisdiction"/>
        <w:keepNext/>
      </w:pPr>
      <w:r>
        <w:rPr>
          <w:rFonts w:ascii="New Century Schoolbook" w:hAnsi="New Century Schoolbook" w:eastAsia="New Century Schoolbook" w:cs="New Century Schoolbook"/>
          <w:b w:val="0"/>
          <w:i w:val="0"/>
          <w:color w:val="000000"/>
          <w:sz w:val="17"/>
        </w:rPr>
        <w:t>Syllabus</w:t>
      </w:r>
    </w:p>
    <w:p>
      <w:pPr>
        <w:pStyle w:val="Caption"/>
        <w:keepNext/>
      </w:pPr>
      <w:r>
        <w:rPr>
          <w:rFonts w:ascii="New Century Schoolbook" w:hAnsi="New Century Schoolbook" w:eastAsia="New Century Schoolbook" w:cs="New Century Schoolbook"/>
          <w:b w:val="0"/>
          <w:i w:val="0"/>
          <w:color w:val="000000"/>
          <w:sz w:val="22"/>
          <w:smallCaps w:val="1"/>
        </w:rPr>
        <w:t xml:space="preserve">Dolan </w:t>
      </w:r>
      <w:r>
        <w:rPr>
          <w:rFonts w:ascii="New Century Schoolbook" w:hAnsi="New Century Schoolbook" w:eastAsia="New Century Schoolbook" w:cs="New Century Schoolbook"/>
          <w:b w:val="0"/>
          <w:i/>
          <w:color w:val="000000"/>
          <w:sz w:val="22"/>
        </w:rPr>
        <w:t>v.</w:t>
      </w:r>
      <w:r>
        <w:rPr>
          <w:rFonts w:ascii="New Century Schoolbook" w:hAnsi="New Century Schoolbook" w:eastAsia="New Century Schoolbook" w:cs="New Century Schoolbook"/>
          <w:b w:val="0"/>
          <w:i w:val="0"/>
          <w:color w:val="000000"/>
          <w:sz w:val="22"/>
          <w:smallCaps w:val="1"/>
        </w:rPr>
        <w:t xml:space="preserve"> City of Tigard</w:t>
      </w:r>
    </w:p>
    <w:p>
      <w:pPr>
        <w:pStyle w:val="Jurisdiction"/>
        <w:keepNext/>
      </w:pPr>
      <w:r>
        <w:rPr>
          <w:rFonts w:ascii="New Century Schoolbook" w:hAnsi="New Century Schoolbook" w:eastAsia="New Century Schoolbook" w:cs="New Century Schoolbook"/>
          <w:b w:val="0"/>
          <w:i w:val="0"/>
          <w:color w:val="000000"/>
          <w:sz w:val="17"/>
          <w:smallCaps w:val="1"/>
        </w:rPr>
        <w:t>Certiorari To The Supreme Court Of Oregon</w:t>
      </w:r>
    </w:p>
    <w:p>
      <w:pPr>
        <w:pStyle w:val="Jurisdiction"/>
        <w:keepNext/>
        <w:spacing w:after="206"/>
      </w:pPr>
      <w:r>
        <w:rPr>
          <w:rFonts w:ascii="New Century Schoolbook" w:hAnsi="New Century Schoolbook" w:eastAsia="New Century Schoolbook" w:cs="New Century Schoolbook"/>
          <w:b w:val="0"/>
          <w:i w:val="0"/>
          <w:color w:val="000000"/>
          <w:sz w:val="17"/>
        </w:rPr>
        <w:t>No. 93–518. Argued March 23, 1994—Decided June 24, 1994</w:t>
      </w:r>
    </w:p>
    <w:p>
      <w:pPr>
        <w:pStyle w:val="SyllabusBody"/>
        <w:keepNext w:val="0"/>
        <w:keepLines w:val="0"/>
      </w:pPr>
      <w:r>
        <w:rPr>
          <w:rFonts w:ascii="New Century Schoolbook" w:hAnsi="New Century Schoolbook" w:eastAsia="New Century Schoolbook" w:cs="New Century Schoolbook"/>
          <w:b w:val="0"/>
          <w:i w:val="0"/>
          <w:color w:val="000000"/>
          <w:sz w:val="18"/>
        </w:rPr>
        <w:t>Petitioner Florence Dolan applied to respondent city for permission to enlarge her plumbing and electric supply store and pave its parking lot. The City Planning Commission approved the application on condition that she dedicate the portion of her land within the 100-year floodplain of Fanno Creek as a public greenway and dedicate an adjoining 15-foot strip for a pedestrian and bicycle pathway. The Commission found that additional impervious surface would increase storm-water runoff and that the expanded store would generate additional traffic. It concluded that a pathway system could offset some traffic demand. The Land Use Board of Appeals, the Oregon Court of Appeals, and the Oregon Supreme Court sustained the conditions under a reasonable-relationship standard. 317 Ore. 110, 854 P. 2d 437.</w:t>
      </w:r>
    </w:p>
    <w:p>
      <w:pPr>
        <w:pStyle w:val="SyllabusHolding"/>
        <w:keepNext/>
        <w:keepLines w:val="0"/>
        <w:spacing w:before="206"/>
        <w:ind w:firstLine="0"/>
      </w:pPr>
      <w:r>
        <w:rPr>
          <w:rFonts w:ascii="New Century Schoolbook" w:hAnsi="New Century Schoolbook" w:eastAsia="New Century Schoolbook" w:cs="New Century Schoolbook"/>
          <w:b w:val="0"/>
          <w:i w:val="0"/>
          <w:color w:val="000000"/>
          <w:sz w:val="18"/>
        </w:rPr>
        <w:t>Held: The city’s dedication requirements constitute an uncompensated taking of property. Pp. 383–396.</w:t>
      </w:r>
    </w:p>
    <w:p>
      <w:pPr>
        <w:pStyle w:val="SyllabusHolding"/>
        <w:keepNext w:val="0"/>
        <w:keepLines w:val="0"/>
        <w:ind w:firstLine="0"/>
      </w:pPr>
      <w:r>
        <w:rPr>
          <w:rFonts w:ascii="New Century Schoolbook" w:hAnsi="New Century Schoolbook" w:eastAsia="New Century Schoolbook" w:cs="New Century Schoolbook"/>
          <w:b w:val="0"/>
          <w:i w:val="0"/>
          <w:color w:val="000000"/>
          <w:sz w:val="18"/>
        </w:rPr>
        <w:t xml:space="preserve">(a) If Tigard had demanded these permanent public easements apart from the permit process, it would have taken property because the easements extinguish Dolan’s right to exclude. The settled doctrine of unconstitutional conditions does not permit government to require surrender of a constitutional right in exchange for a discretionary benefit when the property sought lacks the constitutionally required relation to that benefit. The city may not avoid the duty of compensation by making surrender of the right to exclude the price of a permit. Under </w:t>
      </w:r>
      <w:r>
        <w:rPr>
          <w:rFonts w:ascii="New Century Schoolbook" w:hAnsi="New Century Schoolbook" w:eastAsia="New Century Schoolbook" w:cs="New Century Schoolbook"/>
          <w:b w:val="0"/>
          <w:i/>
          <w:color w:val="000000"/>
          <w:sz w:val="18"/>
        </w:rPr>
        <w:t>Nollan</w:t>
      </w:r>
      <w:r>
        <w:rPr>
          <w:rFonts w:ascii="New Century Schoolbook" w:hAnsi="New Century Schoolbook" w:eastAsia="New Century Schoolbook" w:cs="New Century Schoolbook"/>
          <w:b w:val="0"/>
          <w:i w:val="0"/>
          <w:color w:val="000000"/>
          <w:sz w:val="18"/>
        </w:rPr>
        <w:t>, the first question is whether an essential nexus connects a legitimate public interest to the condition. If the nexus exists, a second question remains: whether the degree of the demanded conveyance bears the required relation to the development’s projected impact. Pp. 383–386.</w:t>
      </w:r>
    </w:p>
    <w:p>
      <w:pPr>
        <w:pStyle w:val="SyllabusHolding"/>
        <w:keepNext w:val="0"/>
        <w:keepLines w:val="0"/>
        <w:ind w:firstLine="0"/>
      </w:pPr>
      <w:r>
        <w:rPr>
          <w:rFonts w:ascii="New Century Schoolbook" w:hAnsi="New Century Schoolbook" w:eastAsia="New Century Schoolbook" w:cs="New Century Schoolbook"/>
          <w:b w:val="0"/>
          <w:i w:val="0"/>
          <w:color w:val="000000"/>
          <w:sz w:val="18"/>
        </w:rPr>
        <w:t>(b) Flood prevention along Fanno Creek and reduction of traffic congestion in Tigard’s Central Business District are legitimate public purposes. Keeping the floodplain open bears an essential nexus to control of runoff from added impervious surfaces. Providing pedestrian and bicycle facilities likewise may serve the purpose of reducing traffic created by the expanded use. Those conclusions identify the kinds of impacts the city may address; they do not establish that the public interests demanded are justified in nature and extent. Pp. 386–388.</w:t>
      </w:r>
    </w:p>
    <w:p>
      <w:pPr>
        <w:pStyle w:val="SyllabusHolding"/>
        <w:keepNext w:val="0"/>
        <w:keepLines w:val="0"/>
        <w:ind w:firstLine="0"/>
      </w:pPr>
      <w:r>
        <w:rPr>
          <w:rFonts w:ascii="New Century Schoolbook" w:hAnsi="New Century Schoolbook" w:eastAsia="New Century Schoolbook" w:cs="New Century Schoolbook"/>
          <w:b w:val="0"/>
          <w:i w:val="0"/>
          <w:color w:val="000000"/>
          <w:sz w:val="18"/>
        </w:rPr>
        <w:t>(c) The Fifth Amendment requires rough proportionality. A generalized relationship is too lax when a permit condition takes a compensable property interest, while a requirement that every impact be specifically and uniquely attributable demands an exactness the Constitution does not impose. The city need not make a precise mathematical calculation, but it must make an individualized determination that the dedication is related, in nature and extent, to impacts attributable to the proposed development. General planning and engineering material may inform that determination; it may not substitute for applying the material to the parcel and the demanded interest. The Court does not call the standard “reasonable relationship,” a phrase too easily confused with rational-basis review. The ordinary presumption governing generally applicable zoning remains. The burden to justify an adjudicative demand that a particular owner convey a public easement rests on the city. Pp. 388–392.</w:t>
      </w:r>
    </w:p>
    <w:p>
      <w:pPr>
        <w:pStyle w:val="SyllabusHolding"/>
        <w:keepNext w:val="0"/>
        <w:keepLines w:val="0"/>
        <w:ind w:firstLine="0"/>
      </w:pPr>
      <w:r>
        <w:rPr>
          <w:rFonts w:ascii="New Century Schoolbook" w:hAnsi="New Century Schoolbook" w:eastAsia="New Century Schoolbook" w:cs="New Century Schoolbook"/>
          <w:b w:val="0"/>
          <w:i w:val="0"/>
          <w:color w:val="000000"/>
          <w:sz w:val="18"/>
        </w:rPr>
        <w:t>(d) Tigard’s findings do not satisfy that standard. The Code already required 15% of the parcel to remain open, and the undeveloped floodplain would nearly satisfy that requirement. Restricting construction there may answer added runoff, but the city did not explain why flood control requires public recreational access. The difference is Dolan’s right to exclude. The pathway condition also fails. Tigard estimated roughly 435 additional daily trips and predicted that some project users might use a path, yet it did not estimate how many trips this segment might displace or connect the expected offset, nature, width, and permanence of the 15-foot public easement to the attributable increase. The statement that the path “could offset some of the traffic demand” establishes possibility, not proportionality. Pp. 392–396.</w:t>
      </w:r>
    </w:p>
    <w:p>
      <w:pPr>
        <w:pStyle w:val="SyllabusBody"/>
        <w:keepNext/>
        <w:keepLines w:val="0"/>
        <w:spacing w:before="206"/>
        <w:ind w:firstLine="0"/>
      </w:pPr>
      <w:r>
        <w:rPr>
          <w:rFonts w:ascii="New Century Schoolbook" w:hAnsi="New Century Schoolbook" w:eastAsia="New Century Schoolbook" w:cs="New Century Schoolbook"/>
          <w:b w:val="0"/>
          <w:i w:val="0"/>
          <w:color w:val="000000"/>
          <w:sz w:val="18"/>
        </w:rPr>
        <w:t>317 Ore. 110, 854 P. 2d 437, reversed and remanded.</w:t>
      </w:r>
    </w:p>
    <w:p>
      <w:pPr>
        <w:pStyle w:val="SyllabusBody"/>
        <w:keepLines/>
        <w:ind w:firstLine="0"/>
      </w:pPr>
      <w:r>
        <w:rPr>
          <w:rFonts w:ascii="New Century Schoolbook" w:hAnsi="New Century Schoolbook" w:eastAsia="New Century Schoolbook" w:cs="New Century Schoolbook"/>
          <w:b w:val="0"/>
          <w:i w:val="0"/>
          <w:color w:val="000000"/>
          <w:sz w:val="18"/>
          <w:smallCaps w:val="1"/>
        </w:rPr>
        <w:t>Stone-Zsela, C. J.,</w:t>
      </w:r>
      <w:r>
        <w:rPr>
          <w:rFonts w:ascii="New Century Schoolbook" w:hAnsi="New Century Schoolbook" w:eastAsia="New Century Schoolbook" w:cs="New Century Schoolbook"/>
          <w:b w:val="0"/>
          <w:i w:val="0"/>
          <w:color w:val="000000"/>
          <w:sz w:val="18"/>
        </w:rPr>
        <w:t xml:space="preserve"> delivered the opinion of the Court, in which </w:t>
      </w:r>
      <w:r>
        <w:rPr>
          <w:rFonts w:ascii="New Century Schoolbook" w:hAnsi="New Century Schoolbook" w:eastAsia="New Century Schoolbook" w:cs="New Century Schoolbook"/>
          <w:b w:val="0"/>
          <w:i w:val="0"/>
          <w:color w:val="000000"/>
          <w:sz w:val="18"/>
          <w:smallCaps w:val="1"/>
        </w:rPr>
        <w:t>O’Connor, Scalia, Kennedy, and Thomas, JJ.,</w:t>
      </w:r>
      <w:r>
        <w:rPr>
          <w:rFonts w:ascii="New Century Schoolbook" w:hAnsi="New Century Schoolbook" w:eastAsia="New Century Schoolbook" w:cs="New Century Schoolbook"/>
          <w:b w:val="0"/>
          <w:i w:val="0"/>
          <w:color w:val="000000"/>
          <w:sz w:val="18"/>
        </w:rPr>
        <w:t xml:space="preserve"> joined. </w:t>
      </w:r>
      <w:r>
        <w:rPr>
          <w:rFonts w:ascii="New Century Schoolbook" w:hAnsi="New Century Schoolbook" w:eastAsia="New Century Schoolbook" w:cs="New Century Schoolbook"/>
          <w:b w:val="0"/>
          <w:i w:val="0"/>
          <w:color w:val="000000"/>
          <w:sz w:val="18"/>
          <w:smallCaps w:val="1"/>
        </w:rPr>
        <w:t>Stevens, J.,</w:t>
      </w:r>
      <w:r>
        <w:rPr>
          <w:rFonts w:ascii="New Century Schoolbook" w:hAnsi="New Century Schoolbook" w:eastAsia="New Century Schoolbook" w:cs="New Century Schoolbook"/>
          <w:b w:val="0"/>
          <w:i w:val="0"/>
          <w:color w:val="000000"/>
          <w:sz w:val="18"/>
        </w:rPr>
        <w:t xml:space="preserve"> filed a dissenting opinion, in which </w:t>
      </w:r>
      <w:r>
        <w:rPr>
          <w:rFonts w:ascii="New Century Schoolbook" w:hAnsi="New Century Schoolbook" w:eastAsia="New Century Schoolbook" w:cs="New Century Schoolbook"/>
          <w:b w:val="0"/>
          <w:i w:val="0"/>
          <w:color w:val="000000"/>
          <w:sz w:val="18"/>
          <w:smallCaps w:val="1"/>
        </w:rPr>
        <w:t>Blackmun and Ginsburg, JJ.,</w:t>
      </w:r>
      <w:r>
        <w:rPr>
          <w:rFonts w:ascii="New Century Schoolbook" w:hAnsi="New Century Schoolbook" w:eastAsia="New Century Schoolbook" w:cs="New Century Schoolbook"/>
          <w:b w:val="0"/>
          <w:i w:val="0"/>
          <w:color w:val="000000"/>
          <w:sz w:val="18"/>
        </w:rPr>
        <w:t xml:space="preserve"> joined. </w:t>
      </w:r>
      <w:r>
        <w:rPr>
          <w:rFonts w:ascii="New Century Schoolbook" w:hAnsi="New Century Schoolbook" w:eastAsia="New Century Schoolbook" w:cs="New Century Schoolbook"/>
          <w:b w:val="0"/>
          <w:i w:val="0"/>
          <w:color w:val="000000"/>
          <w:sz w:val="18"/>
          <w:smallCaps w:val="1"/>
        </w:rPr>
        <w:t>Souter, J.,</w:t>
      </w:r>
      <w:r>
        <w:rPr>
          <w:rFonts w:ascii="New Century Schoolbook" w:hAnsi="New Century Schoolbook" w:eastAsia="New Century Schoolbook" w:cs="New Century Schoolbook"/>
          <w:b w:val="0"/>
          <w:i w:val="0"/>
          <w:color w:val="000000"/>
          <w:sz w:val="18"/>
        </w:rPr>
        <w:t xml:space="preserve"> filed a dissenting opinion.</w:t>
      </w:r>
    </w:p>
    <w:p>
      <w:pPr>
        <w:pStyle w:val="CounselBody"/>
        <w:keepNext w:val="0"/>
        <w:keepLines w:val="0"/>
      </w:pPr>
      <w:r>
        <w:rPr>
          <w:rFonts w:ascii="New Century Schoolbook" w:hAnsi="New Century Schoolbook" w:eastAsia="New Century Schoolbook" w:cs="New Century Schoolbook"/>
          <w:b w:val="0"/>
          <w:i/>
          <w:color w:val="000000"/>
          <w:sz w:val="18"/>
        </w:rPr>
        <w:t>David B. Smith</w:t>
      </w:r>
      <w:r>
        <w:rPr>
          <w:rFonts w:ascii="New Century Schoolbook" w:hAnsi="New Century Schoolbook" w:eastAsia="New Century Schoolbook" w:cs="New Century Schoolbook"/>
          <w:b w:val="0"/>
          <w:i w:val="0"/>
          <w:color w:val="000000"/>
          <w:sz w:val="18"/>
        </w:rPr>
        <w:t xml:space="preserve"> argued the cause and filed briefs for petitioner.</w:t>
      </w:r>
    </w:p>
    <w:p>
      <w:pPr>
        <w:pStyle w:val="CounselBody"/>
        <w:keepNext w:val="0"/>
        <w:keepLines w:val="0"/>
      </w:pPr>
      <w:r>
        <w:rPr>
          <w:rFonts w:ascii="New Century Schoolbook" w:hAnsi="New Century Schoolbook" w:eastAsia="New Century Schoolbook" w:cs="New Century Schoolbook"/>
          <w:b w:val="0"/>
          <w:i/>
          <w:color w:val="000000"/>
          <w:sz w:val="18"/>
        </w:rPr>
        <w:t>Timothy V. Ramis</w:t>
      </w:r>
      <w:r>
        <w:rPr>
          <w:rFonts w:ascii="New Century Schoolbook" w:hAnsi="New Century Schoolbook" w:eastAsia="New Century Schoolbook" w:cs="New Century Schoolbook"/>
          <w:b w:val="0"/>
          <w:i w:val="0"/>
          <w:color w:val="000000"/>
          <w:sz w:val="18"/>
        </w:rPr>
        <w:t xml:space="preserve"> argued the cause for respondent. With him on the brief were </w:t>
      </w:r>
      <w:r>
        <w:rPr>
          <w:rFonts w:ascii="New Century Schoolbook" w:hAnsi="New Century Schoolbook" w:eastAsia="New Century Schoolbook" w:cs="New Century Schoolbook"/>
          <w:b w:val="0"/>
          <w:i/>
          <w:color w:val="000000"/>
          <w:sz w:val="18"/>
        </w:rPr>
        <w:t>James M. Coleman</w:t>
      </w:r>
      <w:r>
        <w:rPr>
          <w:rFonts w:ascii="New Century Schoolbook" w:hAnsi="New Century Schoolbook" w:eastAsia="New Century Schoolbook" w:cs="New Century Schoolbook"/>
          <w:b w:val="0"/>
          <w:i w:val="0"/>
          <w:color w:val="000000"/>
          <w:sz w:val="18"/>
        </w:rPr>
        <w:t xml:space="preserve"> and </w:t>
      </w:r>
      <w:r>
        <w:rPr>
          <w:rFonts w:ascii="New Century Schoolbook" w:hAnsi="New Century Schoolbook" w:eastAsia="New Century Schoolbook" w:cs="New Century Schoolbook"/>
          <w:b w:val="0"/>
          <w:i/>
          <w:color w:val="000000"/>
          <w:sz w:val="18"/>
        </w:rPr>
        <w:t>Richard J. Lazarus</w:t>
      </w:r>
      <w:r>
        <w:rPr>
          <w:rFonts w:ascii="New Century Schoolbook" w:hAnsi="New Century Schoolbook" w:eastAsia="New Century Schoolbook" w:cs="New Century Schoolbook"/>
          <w:b w:val="0"/>
          <w:i w:val="0"/>
          <w:color w:val="000000"/>
          <w:sz w:val="18"/>
        </w:rPr>
        <w:t>.</w:t>
      </w:r>
    </w:p>
    <w:p>
      <w:pPr>
        <w:pStyle w:val="CounselBody"/>
        <w:keepNext w:val="0"/>
        <w:keepLines w:val="0"/>
      </w:pPr>
      <w:r>
        <w:rPr>
          <w:rFonts w:ascii="New Century Schoolbook" w:hAnsi="New Century Schoolbook" w:eastAsia="New Century Schoolbook" w:cs="New Century Schoolbook"/>
          <w:b w:val="0"/>
          <w:i/>
          <w:color w:val="000000"/>
          <w:sz w:val="18"/>
        </w:rPr>
        <w:t>Deputy Solicitor General Kneedler</w:t>
      </w:r>
      <w:r>
        <w:rPr>
          <w:rFonts w:ascii="New Century Schoolbook" w:hAnsi="New Century Schoolbook" w:eastAsia="New Century Schoolbook" w:cs="New Century Schoolbook"/>
          <w:b w:val="0"/>
          <w:i w:val="0"/>
          <w:color w:val="000000"/>
          <w:sz w:val="18"/>
        </w:rPr>
        <w:t xml:space="preserve"> argued the cause for the United States as </w:t>
      </w:r>
      <w:r>
        <w:rPr>
          <w:rFonts w:ascii="New Century Schoolbook" w:hAnsi="New Century Schoolbook" w:eastAsia="New Century Schoolbook" w:cs="New Century Schoolbook"/>
          <w:b w:val="0"/>
          <w:i/>
          <w:color w:val="000000"/>
          <w:sz w:val="18"/>
        </w:rPr>
        <w:t>amicus curiae</w:t>
      </w:r>
      <w:r>
        <w:rPr>
          <w:rFonts w:ascii="New Century Schoolbook" w:hAnsi="New Century Schoolbook" w:eastAsia="New Century Schoolbook" w:cs="New Century Schoolbook"/>
          <w:b w:val="0"/>
          <w:i w:val="0"/>
          <w:color w:val="000000"/>
          <w:sz w:val="18"/>
        </w:rPr>
        <w:t xml:space="preserve"> urging affirmance. With him on the brief were </w:t>
      </w:r>
      <w:r>
        <w:rPr>
          <w:rFonts w:ascii="New Century Schoolbook" w:hAnsi="New Century Schoolbook" w:eastAsia="New Century Schoolbook" w:cs="New Century Schoolbook"/>
          <w:b w:val="0"/>
          <w:i/>
          <w:color w:val="000000"/>
          <w:sz w:val="18"/>
        </w:rPr>
        <w:t>Solicitor General Days, Acting Assistant Attorney General Schiffer, James E. Brookshire</w:t>
      </w:r>
      <w:r>
        <w:rPr>
          <w:rFonts w:ascii="New Century Schoolbook" w:hAnsi="New Century Schoolbook" w:eastAsia="New Century Schoolbook" w:cs="New Century Schoolbook"/>
          <w:b w:val="0"/>
          <w:i w:val="0"/>
          <w:color w:val="000000"/>
          <w:sz w:val="18"/>
        </w:rPr>
        <w:t xml:space="preserve">, and </w:t>
      </w:r>
      <w:r>
        <w:rPr>
          <w:rFonts w:ascii="New Century Schoolbook" w:hAnsi="New Century Schoolbook" w:eastAsia="New Century Schoolbook" w:cs="New Century Schoolbook"/>
          <w:b w:val="0"/>
          <w:i/>
          <w:color w:val="000000"/>
          <w:sz w:val="18"/>
        </w:rPr>
        <w:t>Martin W. Matzen</w:t>
      </w:r>
      <w:r>
        <w:rPr>
          <w:rFonts w:ascii="New Century Schoolbook" w:hAnsi="New Century Schoolbook" w:eastAsia="New Century Schoolbook" w:cs="New Century Schoolbook"/>
          <w:b w:val="0"/>
          <w:i w:val="0"/>
          <w:color w:val="000000"/>
          <w:sz w:val="18"/>
        </w:rPr>
        <w:t>.*</w:t>
      </w:r>
    </w:p>
    <w:p>
      <w:pPr>
        <w:sectPr>
          <w:headerReference w:type="first" r:id="rId9"/>
          <w:headerReference w:type="default" r:id="rId10"/>
          <w:headerReference w:type="even" r:id="rId11"/>
          <w:footerReference w:type="first" r:id="rId12"/>
          <w:footerReference w:type="default" r:id="rId13"/>
          <w:footerReference w:type="even" r:id="rId14"/>
          <w:pgSz w:w="8640" w:h="12960"/>
          <w:pgMar w:top="1368" w:right="1440" w:bottom="1181" w:left="1440" w:header="446" w:footer="403" w:gutter="0"/>
          <w:cols w:space="720"/>
          <w:titlePg/>
          <w:docGrid w:linePitch="360"/>
          <w:pgNumType w:start="374"/>
        </w:sectPr>
      </w:pPr>
    </w:p>
    <w:p>
      <w:pPr>
        <w:pStyle w:val="CounselSmall"/>
        <w:keepNext w:val="0"/>
        <w:keepLines w:val="0"/>
        <w:spacing w:before="164"/>
        <w:ind w:firstLine="0"/>
      </w:pPr>
      <w:r>
        <w:rPr>
          <w:rFonts w:ascii="New Century Schoolbook" w:hAnsi="New Century Schoolbook" w:eastAsia="New Century Schoolbook" w:cs="New Century Schoolbook"/>
          <w:b w:val="0"/>
          <w:i w:val="0"/>
          <w:color w:val="000000"/>
          <w:sz w:val="15"/>
        </w:rPr>
        <w:t xml:space="preserve">*Briefs of </w:t>
      </w:r>
      <w:r>
        <w:rPr>
          <w:rFonts w:ascii="New Century Schoolbook" w:hAnsi="New Century Schoolbook" w:eastAsia="New Century Schoolbook" w:cs="New Century Schoolbook"/>
          <w:b w:val="0"/>
          <w:i/>
          <w:color w:val="000000"/>
          <w:sz w:val="15"/>
        </w:rPr>
        <w:t>amici curiae</w:t>
      </w:r>
      <w:r>
        <w:rPr>
          <w:rFonts w:ascii="New Century Schoolbook" w:hAnsi="New Century Schoolbook" w:eastAsia="New Century Schoolbook" w:cs="New Century Schoolbook"/>
          <w:b w:val="0"/>
          <w:i w:val="0"/>
          <w:color w:val="000000"/>
          <w:sz w:val="15"/>
        </w:rPr>
        <w:t xml:space="preserve"> urging reversal were filed for the American Farm Bureau Federation et al. by </w:t>
      </w:r>
      <w:r>
        <w:rPr>
          <w:rFonts w:ascii="New Century Schoolbook" w:hAnsi="New Century Schoolbook" w:eastAsia="New Century Schoolbook" w:cs="New Century Schoolbook"/>
          <w:b w:val="0"/>
          <w:i/>
          <w:color w:val="000000"/>
          <w:sz w:val="15"/>
        </w:rPr>
        <w:t>James D. Holzhauer, Timothy S. Bishop, John J. Rademacher</w:t>
      </w:r>
      <w:r>
        <w:rPr>
          <w:rFonts w:ascii="New Century Schoolbook" w:hAnsi="New Century Schoolbook" w:eastAsia="New Century Schoolbook" w:cs="New Century Schoolbook"/>
          <w:b w:val="0"/>
          <w:i w:val="0"/>
          <w:color w:val="000000"/>
          <w:sz w:val="15"/>
        </w:rPr>
        <w:t xml:space="preserve">, and </w:t>
      </w:r>
      <w:r>
        <w:rPr>
          <w:rFonts w:ascii="New Century Schoolbook" w:hAnsi="New Century Schoolbook" w:eastAsia="New Century Schoolbook" w:cs="New Century Schoolbook"/>
          <w:b w:val="0"/>
          <w:i/>
          <w:color w:val="000000"/>
          <w:sz w:val="15"/>
        </w:rPr>
        <w:t>Richard L. Krause</w:t>
      </w:r>
      <w:r>
        <w:rPr>
          <w:rFonts w:ascii="New Century Schoolbook" w:hAnsi="New Century Schoolbook" w:eastAsia="New Century Schoolbook" w:cs="New Century Schoolbook"/>
          <w:b w:val="0"/>
          <w:i w:val="0"/>
          <w:color w:val="000000"/>
          <w:sz w:val="15"/>
        </w:rPr>
        <w:t xml:space="preserve">; for Defenders of Property Rights et al. by </w:t>
      </w:r>
      <w:r>
        <w:rPr>
          <w:rFonts w:ascii="New Century Schoolbook" w:hAnsi="New Century Schoolbook" w:eastAsia="New Century Schoolbook" w:cs="New Century Schoolbook"/>
          <w:b w:val="0"/>
          <w:i/>
          <w:color w:val="000000"/>
          <w:sz w:val="15"/>
        </w:rPr>
        <w:t>Nancie G. Marzulla</w:t>
      </w:r>
      <w:r>
        <w:rPr>
          <w:rFonts w:ascii="New Century Schoolbook" w:hAnsi="New Century Schoolbook" w:eastAsia="New Century Schoolbook" w:cs="New Century Schoolbook"/>
          <w:b w:val="0"/>
          <w:i w:val="0"/>
          <w:color w:val="000000"/>
          <w:sz w:val="15"/>
        </w:rPr>
        <w:t xml:space="preserve">; for the Georgia Public Policy Foundation et al. by </w:t>
      </w:r>
      <w:r>
        <w:rPr>
          <w:rFonts w:ascii="New Century Schoolbook" w:hAnsi="New Century Schoolbook" w:eastAsia="New Century Schoolbook" w:cs="New Century Schoolbook"/>
          <w:b w:val="0"/>
          <w:i/>
          <w:color w:val="000000"/>
          <w:sz w:val="15"/>
        </w:rPr>
        <w:t>G. Stephen Parker</w:t>
      </w:r>
      <w:r>
        <w:rPr>
          <w:rFonts w:ascii="New Century Schoolbook" w:hAnsi="New Century Schoolbook" w:eastAsia="New Century Schoolbook" w:cs="New Century Schoolbook"/>
          <w:b w:val="0"/>
          <w:i w:val="0"/>
          <w:color w:val="000000"/>
          <w:sz w:val="15"/>
        </w:rPr>
        <w:t xml:space="preserve">; for the Institute for Justice by </w:t>
      </w:r>
      <w:r>
        <w:rPr>
          <w:rFonts w:ascii="New Century Schoolbook" w:hAnsi="New Century Schoolbook" w:eastAsia="New Century Schoolbook" w:cs="New Century Schoolbook"/>
          <w:b w:val="0"/>
          <w:i/>
          <w:color w:val="000000"/>
          <w:sz w:val="15"/>
        </w:rPr>
        <w:t>William H. Mellor III, Clint Bolick</w:t>
      </w:r>
      <w:r>
        <w:rPr>
          <w:rFonts w:ascii="New Century Schoolbook" w:hAnsi="New Century Schoolbook" w:eastAsia="New Century Schoolbook" w:cs="New Century Schoolbook"/>
          <w:b w:val="0"/>
          <w:i w:val="0"/>
          <w:color w:val="000000"/>
          <w:sz w:val="15"/>
        </w:rPr>
        <w:t xml:space="preserve">, and </w:t>
      </w:r>
      <w:r>
        <w:rPr>
          <w:rFonts w:ascii="New Century Schoolbook" w:hAnsi="New Century Schoolbook" w:eastAsia="New Century Schoolbook" w:cs="New Century Schoolbook"/>
          <w:b w:val="0"/>
          <w:i/>
          <w:color w:val="000000"/>
          <w:sz w:val="15"/>
        </w:rPr>
        <w:t>Richard A. Epstein</w:t>
      </w:r>
      <w:r>
        <w:rPr>
          <w:rFonts w:ascii="New Century Schoolbook" w:hAnsi="New Century Schoolbook" w:eastAsia="New Century Schoolbook" w:cs="New Century Schoolbook"/>
          <w:b w:val="0"/>
          <w:i w:val="0"/>
          <w:color w:val="000000"/>
          <w:sz w:val="15"/>
        </w:rPr>
        <w:t xml:space="preserve">; for the National Association of Home Builders et al. by </w:t>
      </w:r>
      <w:r>
        <w:rPr>
          <w:rFonts w:ascii="New Century Schoolbook" w:hAnsi="New Century Schoolbook" w:eastAsia="New Century Schoolbook" w:cs="New Century Schoolbook"/>
          <w:b w:val="0"/>
          <w:i/>
          <w:color w:val="000000"/>
          <w:sz w:val="15"/>
        </w:rPr>
        <w:t>William H. Ethier, Mary DiCrescenzo</w:t>
      </w:r>
      <w:r>
        <w:rPr>
          <w:rFonts w:ascii="New Century Schoolbook" w:hAnsi="New Century Schoolbook" w:eastAsia="New Century Schoolbook" w:cs="New Century Schoolbook"/>
          <w:b w:val="0"/>
          <w:i w:val="0"/>
          <w:color w:val="000000"/>
          <w:sz w:val="15"/>
        </w:rPr>
        <w:t xml:space="preserve">, and </w:t>
      </w:r>
      <w:r>
        <w:rPr>
          <w:rFonts w:ascii="New Century Schoolbook" w:hAnsi="New Century Schoolbook" w:eastAsia="New Century Schoolbook" w:cs="New Century Schoolbook"/>
          <w:b w:val="0"/>
          <w:i/>
          <w:color w:val="000000"/>
          <w:sz w:val="15"/>
        </w:rPr>
        <w:t>Stephanie McEvily</w:t>
      </w:r>
      <w:r>
        <w:rPr>
          <w:rFonts w:ascii="New Century Schoolbook" w:hAnsi="New Century Schoolbook" w:eastAsia="New Century Schoolbook" w:cs="New Century Schoolbook"/>
          <w:b w:val="0"/>
          <w:i w:val="0"/>
          <w:color w:val="000000"/>
          <w:sz w:val="15"/>
        </w:rPr>
        <w:t xml:space="preserve">; for the National Association of Realtors et al. by </w:t>
      </w:r>
      <w:r>
        <w:rPr>
          <w:rFonts w:ascii="New Century Schoolbook" w:hAnsi="New Century Schoolbook" w:eastAsia="New Century Schoolbook" w:cs="New Century Schoolbook"/>
          <w:b w:val="0"/>
          <w:i/>
          <w:color w:val="000000"/>
          <w:sz w:val="15"/>
        </w:rPr>
        <w:t>Richard M. Stephens</w:t>
      </w:r>
      <w:r>
        <w:rPr>
          <w:rFonts w:ascii="New Century Schoolbook" w:hAnsi="New Century Schoolbook" w:eastAsia="New Century Schoolbook" w:cs="New Century Schoolbook"/>
          <w:b w:val="0"/>
          <w:i w:val="0"/>
          <w:color w:val="000000"/>
          <w:sz w:val="15"/>
        </w:rPr>
        <w:t xml:space="preserve">; for the Pacific Legal Foundation by </w:t>
      </w:r>
      <w:r>
        <w:rPr>
          <w:rFonts w:ascii="New Century Schoolbook" w:hAnsi="New Century Schoolbook" w:eastAsia="New Century Schoolbook" w:cs="New Century Schoolbook"/>
          <w:b w:val="0"/>
          <w:i/>
          <w:color w:val="000000"/>
          <w:sz w:val="15"/>
        </w:rPr>
        <w:t>Ronald A. Zumbrun, Robin L. Rivett, James S. Burling, Deborah J. La Fetra</w:t>
      </w:r>
      <w:r>
        <w:rPr>
          <w:rFonts w:ascii="New Century Schoolbook" w:hAnsi="New Century Schoolbook" w:eastAsia="New Century Schoolbook" w:cs="New Century Schoolbook"/>
          <w:b w:val="0"/>
          <w:i w:val="0"/>
          <w:color w:val="000000"/>
          <w:sz w:val="15"/>
        </w:rPr>
        <w:t xml:space="preserve">, and </w:t>
      </w:r>
      <w:r>
        <w:rPr>
          <w:rFonts w:ascii="New Century Schoolbook" w:hAnsi="New Century Schoolbook" w:eastAsia="New Century Schoolbook" w:cs="New Century Schoolbook"/>
          <w:b w:val="0"/>
          <w:i/>
          <w:color w:val="000000"/>
          <w:sz w:val="15"/>
        </w:rPr>
        <w:t>John M. Groen</w:t>
      </w:r>
      <w:r>
        <w:rPr>
          <w:rFonts w:ascii="New Century Schoolbook" w:hAnsi="New Century Schoolbook" w:eastAsia="New Century Schoolbook" w:cs="New Century Schoolbook"/>
          <w:b w:val="0"/>
          <w:i w:val="0"/>
          <w:color w:val="000000"/>
          <w:sz w:val="15"/>
        </w:rPr>
        <w:t xml:space="preserve">; for the Washington Legal Foundation et al. by </w:t>
      </w:r>
      <w:r>
        <w:rPr>
          <w:rFonts w:ascii="New Century Schoolbook" w:hAnsi="New Century Schoolbook" w:eastAsia="New Century Schoolbook" w:cs="New Century Schoolbook"/>
          <w:b w:val="0"/>
          <w:i/>
          <w:color w:val="000000"/>
          <w:sz w:val="15"/>
        </w:rPr>
        <w:t>Daniel J. Popeo</w:t>
      </w:r>
      <w:r>
        <w:rPr>
          <w:rFonts w:ascii="New Century Schoolbook" w:hAnsi="New Century Schoolbook" w:eastAsia="New Century Schoolbook" w:cs="New Century Schoolbook"/>
          <w:b w:val="0"/>
          <w:i w:val="0"/>
          <w:color w:val="000000"/>
          <w:sz w:val="15"/>
        </w:rPr>
        <w:t xml:space="preserve"> and </w:t>
      </w:r>
      <w:r>
        <w:rPr>
          <w:rFonts w:ascii="New Century Schoolbook" w:hAnsi="New Century Schoolbook" w:eastAsia="New Century Schoolbook" w:cs="New Century Schoolbook"/>
          <w:b w:val="0"/>
          <w:i/>
          <w:color w:val="000000"/>
          <w:sz w:val="15"/>
        </w:rPr>
        <w:t>Paul D. Kamenar</w:t>
      </w:r>
      <w:r>
        <w:rPr>
          <w:rFonts w:ascii="New Century Schoolbook" w:hAnsi="New Century Schoolbook" w:eastAsia="New Century Schoolbook" w:cs="New Century Schoolbook"/>
          <w:b w:val="0"/>
          <w:i w:val="0"/>
          <w:color w:val="000000"/>
          <w:sz w:val="15"/>
        </w:rPr>
        <w:t xml:space="preserve">; by </w:t>
      </w:r>
      <w:r>
        <w:rPr>
          <w:rFonts w:ascii="New Century Schoolbook" w:hAnsi="New Century Schoolbook" w:eastAsia="New Century Schoolbook" w:cs="New Century Schoolbook"/>
          <w:b w:val="0"/>
          <w:i/>
          <w:color w:val="000000"/>
          <w:sz w:val="15"/>
        </w:rPr>
        <w:t>Jon A. Chandler, pro se</w:t>
      </w:r>
      <w:r>
        <w:rPr>
          <w:rFonts w:ascii="New Century Schoolbook" w:hAnsi="New Century Schoolbook" w:eastAsia="New Century Schoolbook" w:cs="New Century Schoolbook"/>
          <w:b w:val="0"/>
          <w:i w:val="0"/>
          <w:color w:val="000000"/>
          <w:sz w:val="15"/>
        </w:rPr>
        <w:t xml:space="preserve">; and for Terence Wellner et al. by </w:t>
      </w:r>
      <w:r>
        <w:rPr>
          <w:rFonts w:ascii="New Century Schoolbook" w:hAnsi="New Century Schoolbook" w:eastAsia="New Century Schoolbook" w:cs="New Century Schoolbook"/>
          <w:b w:val="0"/>
          <w:i/>
          <w:color w:val="000000"/>
          <w:sz w:val="15"/>
        </w:rPr>
        <w:t>Daniel G. Marsh</w:t>
      </w:r>
      <w:r>
        <w:rPr>
          <w:rFonts w:ascii="New Century Schoolbook" w:hAnsi="New Century Schoolbook" w:eastAsia="New Century Schoolbook" w:cs="New Century Schoolbook"/>
          <w:b w:val="0"/>
          <w:i w:val="0"/>
          <w:color w:val="000000"/>
          <w:sz w:val="15"/>
        </w:rPr>
        <w:t>.</w:t>
      </w:r>
    </w:p>
    <w:p>
      <w:pPr>
        <w:pStyle w:val="CounselSmall"/>
        <w:keepNext w:val="0"/>
        <w:keepLines w:val="0"/>
        <w:ind w:firstLine="0"/>
      </w:pPr>
      <w:r>
        <w:rPr>
          <w:rFonts w:ascii="New Century Schoolbook" w:hAnsi="New Century Schoolbook" w:eastAsia="New Century Schoolbook" w:cs="New Century Schoolbook"/>
          <w:b w:val="0"/>
          <w:i w:val="0"/>
          <w:color w:val="000000"/>
          <w:sz w:val="15"/>
        </w:rPr>
        <w:t xml:space="preserve">Briefs of </w:t>
      </w:r>
      <w:r>
        <w:rPr>
          <w:rFonts w:ascii="New Century Schoolbook" w:hAnsi="New Century Schoolbook" w:eastAsia="New Century Schoolbook" w:cs="New Century Schoolbook"/>
          <w:b w:val="0"/>
          <w:i/>
          <w:color w:val="000000"/>
          <w:sz w:val="15"/>
        </w:rPr>
        <w:t>amici curiae</w:t>
      </w:r>
      <w:r>
        <w:rPr>
          <w:rFonts w:ascii="New Century Schoolbook" w:hAnsi="New Century Schoolbook" w:eastAsia="New Century Schoolbook" w:cs="New Century Schoolbook"/>
          <w:b w:val="0"/>
          <w:i w:val="0"/>
          <w:color w:val="000000"/>
          <w:sz w:val="15"/>
        </w:rPr>
        <w:t xml:space="preserve"> urging affirmance were filed for the State of New Jersey et al. by </w:t>
      </w:r>
      <w:r>
        <w:rPr>
          <w:rFonts w:ascii="New Century Schoolbook" w:hAnsi="New Century Schoolbook" w:eastAsia="New Century Schoolbook" w:cs="New Century Schoolbook"/>
          <w:b w:val="0"/>
          <w:i/>
          <w:color w:val="000000"/>
          <w:sz w:val="15"/>
        </w:rPr>
        <w:t>Deborah T. Poritz, Attorney General of New Jersey, Jack M. Sabatino</w:t>
      </w:r>
      <w:r>
        <w:rPr>
          <w:rFonts w:ascii="New Century Schoolbook" w:hAnsi="New Century Schoolbook" w:eastAsia="New Century Schoolbook" w:cs="New Century Schoolbook"/>
          <w:b w:val="0"/>
          <w:i w:val="0"/>
          <w:color w:val="000000"/>
          <w:sz w:val="15"/>
        </w:rPr>
        <w:t xml:space="preserve"> and </w:t>
      </w:r>
      <w:r>
        <w:rPr>
          <w:rFonts w:ascii="New Century Schoolbook" w:hAnsi="New Century Schoolbook" w:eastAsia="New Century Schoolbook" w:cs="New Century Schoolbook"/>
          <w:b w:val="0"/>
          <w:i/>
          <w:color w:val="000000"/>
          <w:sz w:val="15"/>
        </w:rPr>
        <w:t>Mary Carol Jacobson, Assistant Attorneys General</w:t>
      </w:r>
      <w:r>
        <w:rPr>
          <w:rFonts w:ascii="New Century Schoolbook" w:hAnsi="New Century Schoolbook" w:eastAsia="New Century Schoolbook" w:cs="New Century Schoolbook"/>
          <w:b w:val="0"/>
          <w:i w:val="0"/>
          <w:color w:val="000000"/>
          <w:sz w:val="15"/>
        </w:rPr>
        <w:t xml:space="preserve">, and </w:t>
      </w:r>
      <w:r>
        <w:rPr>
          <w:rFonts w:ascii="New Century Schoolbook" w:hAnsi="New Century Schoolbook" w:eastAsia="New Century Schoolbook" w:cs="New Century Schoolbook"/>
          <w:b w:val="0"/>
          <w:i/>
          <w:color w:val="000000"/>
          <w:sz w:val="15"/>
        </w:rPr>
        <w:t>Rachel J. Horowitz, Deputy Attorney General</w:t>
      </w:r>
      <w:r>
        <w:rPr>
          <w:rFonts w:ascii="New Century Schoolbook" w:hAnsi="New Century Schoolbook" w:eastAsia="New Century Schoolbook" w:cs="New Century Schoolbook"/>
          <w:b w:val="0"/>
          <w:i w:val="0"/>
          <w:color w:val="000000"/>
          <w:sz w:val="15"/>
        </w:rPr>
        <w:t xml:space="preserve">, and by the Attorneys General for their respective jurisdictions as follows: </w:t>
      </w:r>
      <w:r>
        <w:rPr>
          <w:rFonts w:ascii="New Century Schoolbook" w:hAnsi="New Century Schoolbook" w:eastAsia="New Century Schoolbook" w:cs="New Century Schoolbook"/>
          <w:b w:val="0"/>
          <w:i/>
          <w:color w:val="000000"/>
          <w:sz w:val="15"/>
        </w:rPr>
        <w:t>Grant Woods</w:t>
      </w:r>
      <w:r>
        <w:rPr>
          <w:rFonts w:ascii="New Century Schoolbook" w:hAnsi="New Century Schoolbook" w:eastAsia="New Century Schoolbook" w:cs="New Century Schoolbook"/>
          <w:b w:val="0"/>
          <w:i w:val="0"/>
          <w:color w:val="000000"/>
          <w:sz w:val="15"/>
        </w:rPr>
        <w:t xml:space="preserve"> of Arizona, </w:t>
      </w:r>
      <w:r>
        <w:rPr>
          <w:rFonts w:ascii="New Century Schoolbook" w:hAnsi="New Century Schoolbook" w:eastAsia="New Century Schoolbook" w:cs="New Century Schoolbook"/>
          <w:b w:val="0"/>
          <w:i/>
          <w:color w:val="000000"/>
          <w:sz w:val="15"/>
        </w:rPr>
        <w:t>Richard Blumenthal</w:t>
      </w:r>
      <w:r>
        <w:rPr>
          <w:rFonts w:ascii="New Century Schoolbook" w:hAnsi="New Century Schoolbook" w:eastAsia="New Century Schoolbook" w:cs="New Century Schoolbook"/>
          <w:b w:val="0"/>
          <w:i w:val="0"/>
          <w:color w:val="000000"/>
          <w:sz w:val="15"/>
        </w:rPr>
        <w:t xml:space="preserve"> of Connecticut, </w:t>
      </w:r>
      <w:r>
        <w:rPr>
          <w:rFonts w:ascii="New Century Schoolbook" w:hAnsi="New Century Schoolbook" w:eastAsia="New Century Schoolbook" w:cs="New Century Schoolbook"/>
          <w:b w:val="0"/>
          <w:i/>
          <w:color w:val="000000"/>
          <w:sz w:val="15"/>
        </w:rPr>
        <w:t>Robert A. Butterworth</w:t>
      </w:r>
      <w:r>
        <w:rPr>
          <w:rFonts w:ascii="New Century Schoolbook" w:hAnsi="New Century Schoolbook" w:eastAsia="New Century Schoolbook" w:cs="New Century Schoolbook"/>
          <w:b w:val="0"/>
          <w:i w:val="0"/>
          <w:color w:val="000000"/>
          <w:sz w:val="15"/>
        </w:rPr>
        <w:t xml:space="preserve"> of Florida, </w:t>
      </w:r>
      <w:r>
        <w:rPr>
          <w:rFonts w:ascii="New Century Schoolbook" w:hAnsi="New Century Schoolbook" w:eastAsia="New Century Schoolbook" w:cs="New Century Schoolbook"/>
          <w:b w:val="0"/>
          <w:i/>
          <w:color w:val="000000"/>
          <w:sz w:val="15"/>
        </w:rPr>
        <w:t>Elizabeth Barrett-Anderson</w:t>
      </w:r>
      <w:r>
        <w:rPr>
          <w:rFonts w:ascii="New Century Schoolbook" w:hAnsi="New Century Schoolbook" w:eastAsia="New Century Schoolbook" w:cs="New Century Schoolbook"/>
          <w:b w:val="0"/>
          <w:i w:val="0"/>
          <w:color w:val="000000"/>
          <w:sz w:val="15"/>
        </w:rPr>
        <w:t xml:space="preserve"> of Guam, </w:t>
      </w:r>
      <w:r>
        <w:rPr>
          <w:rFonts w:ascii="New Century Schoolbook" w:hAnsi="New Century Schoolbook" w:eastAsia="New Century Schoolbook" w:cs="New Century Schoolbook"/>
          <w:b w:val="0"/>
          <w:i/>
          <w:color w:val="000000"/>
          <w:sz w:val="15"/>
        </w:rPr>
        <w:t>Robert A. Marks</w:t>
      </w:r>
      <w:r>
        <w:rPr>
          <w:rFonts w:ascii="New Century Schoolbook" w:hAnsi="New Century Schoolbook" w:eastAsia="New Century Schoolbook" w:cs="New Century Schoolbook"/>
          <w:b w:val="0"/>
          <w:i w:val="0"/>
          <w:color w:val="000000"/>
          <w:sz w:val="15"/>
        </w:rPr>
        <w:t xml:space="preserve"> of Hawaii, </w:t>
      </w:r>
      <w:r>
        <w:rPr>
          <w:rFonts w:ascii="New Century Schoolbook" w:hAnsi="New Century Schoolbook" w:eastAsia="New Century Schoolbook" w:cs="New Century Schoolbook"/>
          <w:b w:val="0"/>
          <w:i/>
          <w:color w:val="000000"/>
          <w:sz w:val="15"/>
        </w:rPr>
        <w:t>Michael E. Carpenter</w:t>
      </w:r>
      <w:r>
        <w:rPr>
          <w:rFonts w:ascii="New Century Schoolbook" w:hAnsi="New Century Schoolbook" w:eastAsia="New Century Schoolbook" w:cs="New Century Schoolbook"/>
          <w:b w:val="0"/>
          <w:i w:val="0"/>
          <w:color w:val="000000"/>
          <w:sz w:val="15"/>
        </w:rPr>
        <w:t xml:space="preserve"> of Maine, </w:t>
      </w:r>
      <w:r>
        <w:rPr>
          <w:rFonts w:ascii="New Century Schoolbook" w:hAnsi="New Century Schoolbook" w:eastAsia="New Century Schoolbook" w:cs="New Century Schoolbook"/>
          <w:b w:val="0"/>
          <w:i/>
          <w:color w:val="000000"/>
          <w:sz w:val="15"/>
        </w:rPr>
        <w:t>Scott Harshbarger</w:t>
      </w:r>
      <w:r>
        <w:rPr>
          <w:rFonts w:ascii="New Century Schoolbook" w:hAnsi="New Century Schoolbook" w:eastAsia="New Century Schoolbook" w:cs="New Century Schoolbook"/>
          <w:b w:val="0"/>
          <w:i w:val="0"/>
          <w:color w:val="000000"/>
          <w:sz w:val="15"/>
        </w:rPr>
        <w:t xml:space="preserve"> of Massachusetts, </w:t>
      </w:r>
      <w:r>
        <w:rPr>
          <w:rFonts w:ascii="New Century Schoolbook" w:hAnsi="New Century Schoolbook" w:eastAsia="New Century Schoolbook" w:cs="New Century Schoolbook"/>
          <w:b w:val="0"/>
          <w:i/>
          <w:color w:val="000000"/>
          <w:sz w:val="15"/>
        </w:rPr>
        <w:t>Frank J. Kelley</w:t>
      </w:r>
      <w:r>
        <w:rPr>
          <w:rFonts w:ascii="New Century Schoolbook" w:hAnsi="New Century Schoolbook" w:eastAsia="New Century Schoolbook" w:cs="New Century Schoolbook"/>
          <w:b w:val="0"/>
          <w:i w:val="0"/>
          <w:color w:val="000000"/>
          <w:sz w:val="15"/>
        </w:rPr>
        <w:t xml:space="preserve"> of Michigan, </w:t>
      </w:r>
      <w:r>
        <w:rPr>
          <w:rFonts w:ascii="New Century Schoolbook" w:hAnsi="New Century Schoolbook" w:eastAsia="New Century Schoolbook" w:cs="New Century Schoolbook"/>
          <w:b w:val="0"/>
          <w:i/>
          <w:color w:val="000000"/>
          <w:sz w:val="15"/>
        </w:rPr>
        <w:t>Joseph P. Mazurek</w:t>
      </w:r>
      <w:r>
        <w:rPr>
          <w:rFonts w:ascii="New Century Schoolbook" w:hAnsi="New Century Schoolbook" w:eastAsia="New Century Schoolbook" w:cs="New Century Schoolbook"/>
          <w:b w:val="0"/>
          <w:i w:val="0"/>
          <w:color w:val="000000"/>
          <w:sz w:val="15"/>
        </w:rPr>
        <w:t xml:space="preserve"> of Montana, </w:t>
      </w:r>
      <w:r>
        <w:rPr>
          <w:rFonts w:ascii="New Century Schoolbook" w:hAnsi="New Century Schoolbook" w:eastAsia="New Century Schoolbook" w:cs="New Century Schoolbook"/>
          <w:b w:val="0"/>
          <w:i/>
          <w:color w:val="000000"/>
          <w:sz w:val="15"/>
        </w:rPr>
        <w:t>Frankie Sue Del Papa</w:t>
      </w:r>
      <w:r>
        <w:rPr>
          <w:rFonts w:ascii="New Century Schoolbook" w:hAnsi="New Century Schoolbook" w:eastAsia="New Century Schoolbook" w:cs="New Century Schoolbook"/>
          <w:b w:val="0"/>
          <w:i w:val="0"/>
          <w:color w:val="000000"/>
          <w:sz w:val="15"/>
        </w:rPr>
        <w:t xml:space="preserve"> of Nevada, </w:t>
      </w:r>
      <w:r>
        <w:rPr>
          <w:rFonts w:ascii="New Century Schoolbook" w:hAnsi="New Century Schoolbook" w:eastAsia="New Century Schoolbook" w:cs="New Century Schoolbook"/>
          <w:b w:val="0"/>
          <w:i/>
          <w:color w:val="000000"/>
          <w:sz w:val="15"/>
        </w:rPr>
        <w:t>Tom Udall</w:t>
      </w:r>
      <w:r>
        <w:rPr>
          <w:rFonts w:ascii="New Century Schoolbook" w:hAnsi="New Century Schoolbook" w:eastAsia="New Century Schoolbook" w:cs="New Century Schoolbook"/>
          <w:b w:val="0"/>
          <w:i w:val="0"/>
          <w:color w:val="000000"/>
          <w:sz w:val="15"/>
        </w:rPr>
        <w:t xml:space="preserve"> of New Mexico, </w:t>
      </w:r>
      <w:r>
        <w:rPr>
          <w:rFonts w:ascii="New Century Schoolbook" w:hAnsi="New Century Schoolbook" w:eastAsia="New Century Schoolbook" w:cs="New Century Schoolbook"/>
          <w:b w:val="0"/>
          <w:i/>
          <w:color w:val="000000"/>
          <w:sz w:val="15"/>
        </w:rPr>
        <w:t>G. Oliver Koppell</w:t>
      </w:r>
      <w:r>
        <w:rPr>
          <w:rFonts w:ascii="New Century Schoolbook" w:hAnsi="New Century Schoolbook" w:eastAsia="New Century Schoolbook" w:cs="New Century Schoolbook"/>
          <w:b w:val="0"/>
          <w:i w:val="0"/>
          <w:color w:val="000000"/>
          <w:sz w:val="15"/>
        </w:rPr>
        <w:t xml:space="preserve"> of New York, </w:t>
      </w:r>
      <w:r>
        <w:rPr>
          <w:rFonts w:ascii="New Century Schoolbook" w:hAnsi="New Century Schoolbook" w:eastAsia="New Century Schoolbook" w:cs="New Century Schoolbook"/>
          <w:b w:val="0"/>
          <w:i/>
          <w:color w:val="000000"/>
          <w:sz w:val="15"/>
        </w:rPr>
        <w:t>Lee Fisher</w:t>
      </w:r>
      <w:r>
        <w:rPr>
          <w:rFonts w:ascii="New Century Schoolbook" w:hAnsi="New Century Schoolbook" w:eastAsia="New Century Schoolbook" w:cs="New Century Schoolbook"/>
          <w:b w:val="0"/>
          <w:i w:val="0"/>
          <w:color w:val="000000"/>
          <w:sz w:val="15"/>
        </w:rPr>
        <w:t xml:space="preserve"> of Ohio, </w:t>
      </w:r>
      <w:r>
        <w:rPr>
          <w:rFonts w:ascii="New Century Schoolbook" w:hAnsi="New Century Schoolbook" w:eastAsia="New Century Schoolbook" w:cs="New Century Schoolbook"/>
          <w:b w:val="0"/>
          <w:i/>
          <w:color w:val="000000"/>
          <w:sz w:val="15"/>
        </w:rPr>
        <w:t>Jeffrey B. Pine</w:t>
      </w:r>
      <w:r>
        <w:rPr>
          <w:rFonts w:ascii="New Century Schoolbook" w:hAnsi="New Century Schoolbook" w:eastAsia="New Century Schoolbook" w:cs="New Century Schoolbook"/>
          <w:b w:val="0"/>
          <w:i w:val="0"/>
          <w:color w:val="000000"/>
          <w:sz w:val="15"/>
        </w:rPr>
        <w:t xml:space="preserve"> of Rhode Island, </w:t>
      </w:r>
      <w:r>
        <w:rPr>
          <w:rFonts w:ascii="New Century Schoolbook" w:hAnsi="New Century Schoolbook" w:eastAsia="New Century Schoolbook" w:cs="New Century Schoolbook"/>
          <w:b w:val="0"/>
          <w:i/>
          <w:color w:val="000000"/>
          <w:sz w:val="15"/>
        </w:rPr>
        <w:t>Charles W. Burson</w:t>
      </w:r>
      <w:r>
        <w:rPr>
          <w:rFonts w:ascii="New Century Schoolbook" w:hAnsi="New Century Schoolbook" w:eastAsia="New Century Schoolbook" w:cs="New Century Schoolbook"/>
          <w:b w:val="0"/>
          <w:i w:val="0"/>
          <w:color w:val="000000"/>
          <w:sz w:val="15"/>
        </w:rPr>
        <w:t xml:space="preserve"> of Tennessee, </w:t>
      </w:r>
      <w:r>
        <w:rPr>
          <w:rFonts w:ascii="New Century Schoolbook" w:hAnsi="New Century Schoolbook" w:eastAsia="New Century Schoolbook" w:cs="New Century Schoolbook"/>
          <w:b w:val="0"/>
          <w:i/>
          <w:color w:val="000000"/>
          <w:sz w:val="15"/>
        </w:rPr>
        <w:t>Rosalie S. Ballentine</w:t>
      </w:r>
      <w:r>
        <w:rPr>
          <w:rFonts w:ascii="New Century Schoolbook" w:hAnsi="New Century Schoolbook" w:eastAsia="New Century Schoolbook" w:cs="New Century Schoolbook"/>
          <w:b w:val="0"/>
          <w:i w:val="0"/>
          <w:color w:val="000000"/>
          <w:sz w:val="15"/>
        </w:rPr>
        <w:t xml:space="preserve"> of the Virgin Islands, and </w:t>
      </w:r>
      <w:r>
        <w:rPr>
          <w:rFonts w:ascii="New Century Schoolbook" w:hAnsi="New Century Schoolbook" w:eastAsia="New Century Schoolbook" w:cs="New Century Schoolbook"/>
          <w:b w:val="0"/>
          <w:i/>
          <w:color w:val="000000"/>
          <w:sz w:val="15"/>
        </w:rPr>
        <w:t>Joseph B. Meyer</w:t>
      </w:r>
      <w:r>
        <w:rPr>
          <w:rFonts w:ascii="New Century Schoolbook" w:hAnsi="New Century Schoolbook" w:eastAsia="New Century Schoolbook" w:cs="New Century Schoolbook"/>
          <w:b w:val="0"/>
          <w:i w:val="0"/>
          <w:color w:val="000000"/>
          <w:sz w:val="15"/>
        </w:rPr>
        <w:t xml:space="preserve"> of Wyoming; for the State of Oregon by </w:t>
      </w:r>
      <w:r>
        <w:rPr>
          <w:rFonts w:ascii="New Century Schoolbook" w:hAnsi="New Century Schoolbook" w:eastAsia="New Century Schoolbook" w:cs="New Century Schoolbook"/>
          <w:b w:val="0"/>
          <w:i/>
          <w:color w:val="000000"/>
          <w:sz w:val="15"/>
        </w:rPr>
        <w:t>Theodore R. Kulongoski, Attorney General, Thomas A. Balmer, Deputy Attorney General, Virginia L. Linder, Solicitor General</w:t>
      </w:r>
      <w:r>
        <w:rPr>
          <w:rFonts w:ascii="New Century Schoolbook" w:hAnsi="New Century Schoolbook" w:eastAsia="New Century Schoolbook" w:cs="New Century Schoolbook"/>
          <w:b w:val="0"/>
          <w:i w:val="0"/>
          <w:color w:val="000000"/>
          <w:sz w:val="15"/>
        </w:rPr>
        <w:t xml:space="preserve">, and </w:t>
      </w:r>
      <w:r>
        <w:rPr>
          <w:rFonts w:ascii="New Century Schoolbook" w:hAnsi="New Century Schoolbook" w:eastAsia="New Century Schoolbook" w:cs="New Century Schoolbook"/>
          <w:b w:val="0"/>
          <w:i/>
          <w:color w:val="000000"/>
          <w:sz w:val="15"/>
        </w:rPr>
        <w:t>Michael D. Reynolds</w:t>
      </w:r>
      <w:r>
        <w:rPr>
          <w:rFonts w:ascii="New Century Schoolbook" w:hAnsi="New Century Schoolbook" w:eastAsia="New Century Schoolbook" w:cs="New Century Schoolbook"/>
          <w:b w:val="0"/>
          <w:i w:val="0"/>
          <w:color w:val="000000"/>
          <w:sz w:val="15"/>
        </w:rPr>
        <w:t xml:space="preserve"> and </w:t>
      </w:r>
      <w:r>
        <w:rPr>
          <w:rFonts w:ascii="New Century Schoolbook" w:hAnsi="New Century Schoolbook" w:eastAsia="New Century Schoolbook" w:cs="New Century Schoolbook"/>
          <w:b w:val="0"/>
          <w:i/>
          <w:color w:val="000000"/>
          <w:sz w:val="15"/>
        </w:rPr>
        <w:t>John T. Bagg, Assistant Attorneys General</w:t>
      </w:r>
      <w:r>
        <w:rPr>
          <w:rFonts w:ascii="New Century Schoolbook" w:hAnsi="New Century Schoolbook" w:eastAsia="New Century Schoolbook" w:cs="New Century Schoolbook"/>
          <w:b w:val="0"/>
          <w:i w:val="0"/>
          <w:color w:val="000000"/>
          <w:sz w:val="15"/>
        </w:rPr>
        <w:t xml:space="preserve">; for Broward County by </w:t>
      </w:r>
      <w:r>
        <w:rPr>
          <w:rFonts w:ascii="New Century Schoolbook" w:hAnsi="New Century Schoolbook" w:eastAsia="New Century Schoolbook" w:cs="New Century Schoolbook"/>
          <w:b w:val="0"/>
          <w:i/>
          <w:color w:val="000000"/>
          <w:sz w:val="15"/>
        </w:rPr>
        <w:t>John J. Copelan, Jr.</w:t>
      </w:r>
      <w:r>
        <w:rPr>
          <w:rFonts w:ascii="New Century Schoolbook" w:hAnsi="New Century Schoolbook" w:eastAsia="New Century Schoolbook" w:cs="New Century Schoolbook"/>
          <w:b w:val="0"/>
          <w:i w:val="0"/>
          <w:color w:val="000000"/>
          <w:sz w:val="15"/>
        </w:rPr>
        <w:t xml:space="preserve">, and </w:t>
      </w:r>
      <w:r>
        <w:rPr>
          <w:rFonts w:ascii="New Century Schoolbook" w:hAnsi="New Century Schoolbook" w:eastAsia="New Century Schoolbook" w:cs="New Century Schoolbook"/>
          <w:b w:val="0"/>
          <w:i/>
          <w:color w:val="000000"/>
          <w:sz w:val="15"/>
        </w:rPr>
        <w:t>Anthony C. Musto</w:t>
      </w:r>
      <w:r>
        <w:rPr>
          <w:rFonts w:ascii="New Century Schoolbook" w:hAnsi="New Century Schoolbook" w:eastAsia="New Century Schoolbook" w:cs="New Century Schoolbook"/>
          <w:b w:val="0"/>
          <w:i w:val="0"/>
          <w:color w:val="000000"/>
          <w:sz w:val="15"/>
        </w:rPr>
        <w:t xml:space="preserve">; for the City of New York by </w:t>
      </w:r>
      <w:r>
        <w:rPr>
          <w:rFonts w:ascii="New Century Schoolbook" w:hAnsi="New Century Schoolbook" w:eastAsia="New Century Schoolbook" w:cs="New Century Schoolbook"/>
          <w:b w:val="0"/>
          <w:i/>
          <w:color w:val="000000"/>
          <w:sz w:val="15"/>
        </w:rPr>
        <w:t>Paul A. Crotty, Leonard J. Koerner</w:t>
      </w:r>
      <w:r>
        <w:rPr>
          <w:rFonts w:ascii="New Century Schoolbook" w:hAnsi="New Century Schoolbook" w:eastAsia="New Century Schoolbook" w:cs="New Century Schoolbook"/>
          <w:b w:val="0"/>
          <w:i w:val="0"/>
          <w:color w:val="000000"/>
          <w:sz w:val="15"/>
        </w:rPr>
        <w:t xml:space="preserve">, and </w:t>
      </w:r>
      <w:r>
        <w:rPr>
          <w:rFonts w:ascii="New Century Schoolbook" w:hAnsi="New Century Schoolbook" w:eastAsia="New Century Schoolbook" w:cs="New Century Schoolbook"/>
          <w:b w:val="0"/>
          <w:i/>
          <w:color w:val="000000"/>
          <w:sz w:val="15"/>
        </w:rPr>
        <w:t>Linda H. Young</w:t>
      </w:r>
      <w:r>
        <w:rPr>
          <w:rFonts w:ascii="New Century Schoolbook" w:hAnsi="New Century Schoolbook" w:eastAsia="New Century Schoolbook" w:cs="New Century Schoolbook"/>
          <w:b w:val="0"/>
          <w:i w:val="0"/>
          <w:color w:val="000000"/>
          <w:sz w:val="15"/>
        </w:rPr>
        <w:t xml:space="preserve">; for the American Federation of Labor and Congress of Industrial Organizations by </w:t>
      </w:r>
      <w:r>
        <w:rPr>
          <w:rFonts w:ascii="New Century Schoolbook" w:hAnsi="New Century Schoolbook" w:eastAsia="New Century Schoolbook" w:cs="New Century Schoolbook"/>
          <w:b w:val="0"/>
          <w:i/>
          <w:color w:val="000000"/>
          <w:sz w:val="15"/>
        </w:rPr>
        <w:t>Robert M. Weinberg, Walter Kamiat</w:t>
      </w:r>
      <w:r>
        <w:rPr>
          <w:rFonts w:ascii="New Century Schoolbook" w:hAnsi="New Century Schoolbook" w:eastAsia="New Century Schoolbook" w:cs="New Century Schoolbook"/>
          <w:b w:val="0"/>
          <w:i w:val="0"/>
          <w:color w:val="000000"/>
          <w:sz w:val="15"/>
        </w:rPr>
        <w:t xml:space="preserve">, and </w:t>
      </w:r>
      <w:r>
        <w:rPr>
          <w:rFonts w:ascii="New Century Schoolbook" w:hAnsi="New Century Schoolbook" w:eastAsia="New Century Schoolbook" w:cs="New Century Schoolbook"/>
          <w:b w:val="0"/>
          <w:i/>
          <w:color w:val="000000"/>
          <w:sz w:val="15"/>
        </w:rPr>
        <w:t>Laurence Gold</w:t>
      </w:r>
      <w:r>
        <w:rPr>
          <w:rFonts w:ascii="New Century Schoolbook" w:hAnsi="New Century Schoolbook" w:eastAsia="New Century Schoolbook" w:cs="New Century Schoolbook"/>
          <w:b w:val="0"/>
          <w:i w:val="0"/>
          <w:color w:val="000000"/>
          <w:sz w:val="15"/>
        </w:rPr>
        <w:t xml:space="preserve">; for the Association of State Floodplain Managers by </w:t>
      </w:r>
      <w:r>
        <w:rPr>
          <w:rFonts w:ascii="New Century Schoolbook" w:hAnsi="New Century Schoolbook" w:eastAsia="New Century Schoolbook" w:cs="New Century Schoolbook"/>
          <w:b w:val="0"/>
          <w:i/>
          <w:color w:val="000000"/>
          <w:sz w:val="15"/>
        </w:rPr>
        <w:t>Michael J. Bean</w:t>
      </w:r>
      <w:r>
        <w:rPr>
          <w:rFonts w:ascii="New Century Schoolbook" w:hAnsi="New Century Schoolbook" w:eastAsia="New Century Schoolbook" w:cs="New Century Schoolbook"/>
          <w:b w:val="0"/>
          <w:i w:val="0"/>
          <w:color w:val="000000"/>
          <w:sz w:val="15"/>
        </w:rPr>
        <w:t xml:space="preserve">; for the Rails-to-Trails Conservancy et al. by </w:t>
      </w:r>
      <w:r>
        <w:rPr>
          <w:rFonts w:ascii="New Century Schoolbook" w:hAnsi="New Century Schoolbook" w:eastAsia="New Century Schoolbook" w:cs="New Century Schoolbook"/>
          <w:b w:val="0"/>
          <w:i/>
          <w:color w:val="000000"/>
          <w:sz w:val="15"/>
        </w:rPr>
        <w:t>Andrea C. Ferster, Daniel L. Rabinowitz</w:t>
      </w:r>
      <w:r>
        <w:rPr>
          <w:rFonts w:ascii="New Century Schoolbook" w:hAnsi="New Century Schoolbook" w:eastAsia="New Century Schoolbook" w:cs="New Century Schoolbook"/>
          <w:b w:val="0"/>
          <w:i w:val="0"/>
          <w:color w:val="000000"/>
          <w:sz w:val="15"/>
        </w:rPr>
        <w:t xml:space="preserve">, and </w:t>
      </w:r>
      <w:r>
        <w:rPr>
          <w:rFonts w:ascii="New Century Schoolbook" w:hAnsi="New Century Schoolbook" w:eastAsia="New Century Schoolbook" w:cs="New Century Schoolbook"/>
          <w:b w:val="0"/>
          <w:i/>
          <w:color w:val="000000"/>
          <w:sz w:val="15"/>
        </w:rPr>
        <w:t>Glenn P. Sugameli</w:t>
      </w:r>
      <w:r>
        <w:rPr>
          <w:rFonts w:ascii="New Century Schoolbook" w:hAnsi="New Century Schoolbook" w:eastAsia="New Century Schoolbook" w:cs="New Century Schoolbook"/>
          <w:b w:val="0"/>
          <w:i w:val="0"/>
          <w:color w:val="000000"/>
          <w:sz w:val="15"/>
        </w:rPr>
        <w:t xml:space="preserve">; for the National Association of Counties et al. by </w:t>
      </w:r>
      <w:r>
        <w:rPr>
          <w:rFonts w:ascii="New Century Schoolbook" w:hAnsi="New Century Schoolbook" w:eastAsia="New Century Schoolbook" w:cs="New Century Schoolbook"/>
          <w:b w:val="0"/>
          <w:i/>
          <w:color w:val="000000"/>
          <w:sz w:val="15"/>
        </w:rPr>
        <w:t>Richard Ruda, Lee Fennell</w:t>
      </w:r>
      <w:r>
        <w:rPr>
          <w:rFonts w:ascii="New Century Schoolbook" w:hAnsi="New Century Schoolbook" w:eastAsia="New Century Schoolbook" w:cs="New Century Schoolbook"/>
          <w:b w:val="0"/>
          <w:i w:val="0"/>
          <w:color w:val="000000"/>
          <w:sz w:val="15"/>
        </w:rPr>
        <w:t xml:space="preserve">, and </w:t>
      </w:r>
      <w:r>
        <w:rPr>
          <w:rFonts w:ascii="New Century Schoolbook" w:hAnsi="New Century Schoolbook" w:eastAsia="New Century Schoolbook" w:cs="New Century Schoolbook"/>
          <w:b w:val="0"/>
          <w:i/>
          <w:color w:val="000000"/>
          <w:sz w:val="15"/>
        </w:rPr>
        <w:t>Barbara E. Etkind</w:t>
      </w:r>
      <w:r>
        <w:rPr>
          <w:rFonts w:ascii="New Century Schoolbook" w:hAnsi="New Century Schoolbook" w:eastAsia="New Century Schoolbook" w:cs="New Century Schoolbook"/>
          <w:b w:val="0"/>
          <w:i w:val="0"/>
          <w:color w:val="000000"/>
          <w:sz w:val="15"/>
        </w:rPr>
        <w:t xml:space="preserve">; for the National Audubon Society by </w:t>
      </w:r>
      <w:r>
        <w:rPr>
          <w:rFonts w:ascii="New Century Schoolbook" w:hAnsi="New Century Schoolbook" w:eastAsia="New Century Schoolbook" w:cs="New Century Schoolbook"/>
          <w:b w:val="0"/>
          <w:i/>
          <w:color w:val="000000"/>
          <w:sz w:val="15"/>
        </w:rPr>
        <w:t>John D. Echeverria</w:t>
      </w:r>
      <w:r>
        <w:rPr>
          <w:rFonts w:ascii="New Century Schoolbook" w:hAnsi="New Century Schoolbook" w:eastAsia="New Century Schoolbook" w:cs="New Century Schoolbook"/>
          <w:b w:val="0"/>
          <w:i w:val="0"/>
          <w:color w:val="000000"/>
          <w:sz w:val="15"/>
        </w:rPr>
        <w:t xml:space="preserve">; and for 1000 Friends of Oregon et al. by </w:t>
      </w:r>
      <w:r>
        <w:rPr>
          <w:rFonts w:ascii="New Century Schoolbook" w:hAnsi="New Century Schoolbook" w:eastAsia="New Century Schoolbook" w:cs="New Century Schoolbook"/>
          <w:b w:val="0"/>
          <w:i/>
          <w:color w:val="000000"/>
          <w:sz w:val="15"/>
        </w:rPr>
        <w:t>H. Bissell Carey III, Dwight H. Merriam</w:t>
      </w:r>
      <w:r>
        <w:rPr>
          <w:rFonts w:ascii="New Century Schoolbook" w:hAnsi="New Century Schoolbook" w:eastAsia="New Century Schoolbook" w:cs="New Century Schoolbook"/>
          <w:b w:val="0"/>
          <w:i w:val="0"/>
          <w:color w:val="000000"/>
          <w:sz w:val="15"/>
        </w:rPr>
        <w:t xml:space="preserve">, and </w:t>
      </w:r>
      <w:r>
        <w:rPr>
          <w:rFonts w:ascii="New Century Schoolbook" w:hAnsi="New Century Schoolbook" w:eastAsia="New Century Schoolbook" w:cs="New Century Schoolbook"/>
          <w:b w:val="0"/>
          <w:i/>
          <w:color w:val="000000"/>
          <w:sz w:val="15"/>
        </w:rPr>
        <w:t>Edward J. Sullivan</w:t>
      </w:r>
      <w:r>
        <w:rPr>
          <w:rFonts w:ascii="New Century Schoolbook" w:hAnsi="New Century Schoolbook" w:eastAsia="New Century Schoolbook" w:cs="New Century Schoolbook"/>
          <w:b w:val="0"/>
          <w:i w:val="0"/>
          <w:color w:val="000000"/>
          <w:sz w:val="15"/>
        </w:rPr>
        <w:t>.</w:t>
      </w:r>
    </w:p>
    <w:p>
      <w:pPr>
        <w:pStyle w:val="CounselSmall"/>
        <w:keepNext w:val="0"/>
        <w:keepLines w:val="0"/>
        <w:ind w:firstLine="0"/>
      </w:pPr>
      <w:r>
        <w:rPr>
          <w:rFonts w:ascii="New Century Schoolbook" w:hAnsi="New Century Schoolbook" w:eastAsia="New Century Schoolbook" w:cs="New Century Schoolbook"/>
          <w:b w:val="0"/>
          <w:i w:val="0"/>
          <w:color w:val="000000"/>
          <w:sz w:val="15"/>
        </w:rPr>
        <w:t xml:space="preserve">Briefs of </w:t>
      </w:r>
      <w:r>
        <w:rPr>
          <w:rFonts w:ascii="New Century Schoolbook" w:hAnsi="New Century Schoolbook" w:eastAsia="New Century Schoolbook" w:cs="New Century Schoolbook"/>
          <w:b w:val="0"/>
          <w:i/>
          <w:color w:val="000000"/>
          <w:sz w:val="15"/>
        </w:rPr>
        <w:t>amici curiae</w:t>
      </w:r>
      <w:r>
        <w:rPr>
          <w:rFonts w:ascii="New Century Schoolbook" w:hAnsi="New Century Schoolbook" w:eastAsia="New Century Schoolbook" w:cs="New Century Schoolbook"/>
          <w:b w:val="0"/>
          <w:i w:val="0"/>
          <w:color w:val="000000"/>
          <w:sz w:val="15"/>
        </w:rPr>
        <w:t xml:space="preserve"> were filed for the Mountain States Legal Foundation et al. by </w:t>
      </w:r>
      <w:r>
        <w:rPr>
          <w:rFonts w:ascii="New Century Schoolbook" w:hAnsi="New Century Schoolbook" w:eastAsia="New Century Schoolbook" w:cs="New Century Schoolbook"/>
          <w:b w:val="0"/>
          <w:i/>
          <w:color w:val="000000"/>
          <w:sz w:val="15"/>
        </w:rPr>
        <w:t>William Perry Pendley</w:t>
      </w:r>
      <w:r>
        <w:rPr>
          <w:rFonts w:ascii="New Century Schoolbook" w:hAnsi="New Century Schoolbook" w:eastAsia="New Century Schoolbook" w:cs="New Century Schoolbook"/>
          <w:b w:val="0"/>
          <w:i w:val="0"/>
          <w:color w:val="000000"/>
          <w:sz w:val="15"/>
        </w:rPr>
        <w:t xml:space="preserve">; for the Northwest Legal Foundation by </w:t>
      </w:r>
      <w:r>
        <w:rPr>
          <w:rFonts w:ascii="New Century Schoolbook" w:hAnsi="New Century Schoolbook" w:eastAsia="New Century Schoolbook" w:cs="New Century Schoolbook"/>
          <w:b w:val="0"/>
          <w:i/>
          <w:color w:val="000000"/>
          <w:sz w:val="15"/>
        </w:rPr>
        <w:t>Jeanette R. Burrage</w:t>
      </w:r>
      <w:r>
        <w:rPr>
          <w:rFonts w:ascii="New Century Schoolbook" w:hAnsi="New Century Schoolbook" w:eastAsia="New Century Schoolbook" w:cs="New Century Schoolbook"/>
          <w:b w:val="0"/>
          <w:i w:val="0"/>
          <w:color w:val="000000"/>
          <w:sz w:val="15"/>
        </w:rPr>
        <w:t xml:space="preserve">; and by </w:t>
      </w:r>
      <w:r>
        <w:rPr>
          <w:rFonts w:ascii="New Century Schoolbook" w:hAnsi="New Century Schoolbook" w:eastAsia="New Century Schoolbook" w:cs="New Century Schoolbook"/>
          <w:b w:val="0"/>
          <w:i/>
          <w:color w:val="000000"/>
          <w:sz w:val="15"/>
        </w:rPr>
        <w:t>Thomas H. Nelson, pro se</w:t>
      </w:r>
      <w:r>
        <w:rPr>
          <w:rFonts w:ascii="New Century Schoolbook" w:hAnsi="New Century Schoolbook" w:eastAsia="New Century Schoolbook" w:cs="New Century Schoolbook"/>
          <w:b w:val="0"/>
          <w:i w:val="0"/>
          <w:color w:val="000000"/>
          <w:sz w:val="15"/>
        </w:rPr>
        <w:t>, et al.</w:t>
      </w:r>
    </w:p>
    <w:p>
      <w:pPr>
        <w:sectPr>
          <w:headerReference w:type="first" r:id="rId15"/>
          <w:headerReference w:type="default" r:id="rId16"/>
          <w:headerReference w:type="even" r:id="rId17"/>
          <w:footerReference w:type="first" r:id="rId18"/>
          <w:footerReference w:type="default" r:id="rId19"/>
          <w:footerReference w:type="even" r:id="rId20"/>
          <w:pgSz w:w="8640" w:h="12960"/>
          <w:pgMar w:top="1368" w:right="1440" w:bottom="1181" w:left="1440" w:header="446" w:footer="403" w:gutter="0"/>
          <w:cols w:space="720"/>
          <w:titlePg/>
          <w:docGrid w:linePitch="360"/>
          <w:pgNumType w:start="376"/>
        </w:sectPr>
      </w:pPr>
    </w:p>
    <w:p>
      <w:pPr>
        <w:pStyle w:val="CourtName"/>
        <w:keepNext/>
      </w:pPr>
      <w:r>
        <w:rPr>
          <w:rFonts w:ascii="Times New Roman" w:hAnsi="Times New Roman" w:eastAsia="Times New Roman" w:cs="Times New Roman"/>
          <w:b/>
          <w:i w:val="0"/>
          <w:color w:val="000000"/>
          <w:sz w:val="25"/>
        </w:rPr>
        <w:t>SUPREME COURT OF THE UNITED STATES</w:t>
      </w:r>
    </w:p>
    <w:p>
      <w:pPr>
        <w:pStyle w:val="Jurisdiction"/>
        <w:keepNext/>
      </w:pPr>
      <w:r>
        <w:rPr>
          <w:rFonts w:ascii="New Century Schoolbook" w:hAnsi="New Century Schoolbook" w:eastAsia="New Century Schoolbook" w:cs="New Century Schoolbook"/>
          <w:b w:val="0"/>
          <w:i w:val="0"/>
          <w:color w:val="000000"/>
          <w:sz w:val="17"/>
        </w:rPr>
        <w:t>No. 93–518</w:t>
      </w:r>
    </w:p>
    <w:p>
      <w:pPr>
        <w:pStyle w:val="Caption"/>
        <w:keepNext/>
      </w:pPr>
      <w:r>
        <w:rPr>
          <w:rFonts w:ascii="New Century Schoolbook" w:hAnsi="New Century Schoolbook" w:eastAsia="New Century Schoolbook" w:cs="New Century Schoolbook"/>
          <w:b w:val="0"/>
          <w:i w:val="0"/>
          <w:color w:val="000000"/>
          <w:sz w:val="22"/>
          <w:smallCaps w:val="1"/>
        </w:rPr>
        <w:t xml:space="preserve">Dolan </w:t>
      </w:r>
      <w:r>
        <w:rPr>
          <w:rFonts w:ascii="New Century Schoolbook" w:hAnsi="New Century Schoolbook" w:eastAsia="New Century Schoolbook" w:cs="New Century Schoolbook"/>
          <w:b w:val="0"/>
          <w:i/>
          <w:color w:val="000000"/>
          <w:sz w:val="22"/>
        </w:rPr>
        <w:t>v.</w:t>
      </w:r>
      <w:r>
        <w:rPr>
          <w:rFonts w:ascii="New Century Schoolbook" w:hAnsi="New Century Schoolbook" w:eastAsia="New Century Schoolbook" w:cs="New Century Schoolbook"/>
          <w:b w:val="0"/>
          <w:i w:val="0"/>
          <w:color w:val="000000"/>
          <w:sz w:val="22"/>
          <w:smallCaps w:val="1"/>
        </w:rPr>
        <w:t xml:space="preserve"> City of Tigard</w:t>
      </w:r>
    </w:p>
    <w:p>
      <w:pPr>
        <w:pStyle w:val="Jurisdiction"/>
        <w:keepNext/>
      </w:pPr>
      <w:r>
        <w:rPr>
          <w:rFonts w:ascii="New Century Schoolbook" w:hAnsi="New Century Schoolbook" w:eastAsia="New Century Schoolbook" w:cs="New Century Schoolbook"/>
          <w:b w:val="0"/>
          <w:i w:val="0"/>
          <w:color w:val="000000"/>
          <w:sz w:val="17"/>
          <w:smallCaps w:val="1"/>
        </w:rPr>
        <w:t>On Writ Of Certiorari To The Supreme Court Of Oregon</w:t>
      </w:r>
    </w:p>
    <w:p>
      <w:pPr>
        <w:pStyle w:val="Jurisdiction"/>
        <w:keepNext/>
        <w:spacing w:after="242"/>
      </w:pPr>
      <w:r>
        <w:rPr>
          <w:rFonts w:ascii="New Century Schoolbook" w:hAnsi="New Century Schoolbook" w:eastAsia="New Century Schoolbook" w:cs="New Century Schoolbook"/>
          <w:b w:val="0"/>
          <w:i w:val="0"/>
          <w:color w:val="000000"/>
          <w:sz w:val="17"/>
        </w:rPr>
        <w:t>[June 24, 1994]</w:t>
      </w:r>
    </w:p>
    <w:p>
      <w:pPr>
        <w:pStyle w:val="DeliveryLine"/>
        <w:keepNext/>
      </w:pPr>
      <w:r>
        <w:rPr>
          <w:rFonts w:ascii="New Century Schoolbook" w:hAnsi="New Century Schoolbook" w:eastAsia="New Century Schoolbook" w:cs="New Century Schoolbook"/>
          <w:b w:val="0"/>
          <w:i w:val="0"/>
          <w:color w:val="000000"/>
          <w:sz w:val="23"/>
          <w:smallCaps w:val="1"/>
        </w:rPr>
        <w:t>Chief Justice Stone-Zsela</w:t>
      </w:r>
      <w:r>
        <w:rPr>
          <w:rFonts w:ascii="New Century Schoolbook" w:hAnsi="New Century Schoolbook" w:eastAsia="New Century Schoolbook" w:cs="New Century Schoolbook"/>
          <w:b w:val="0"/>
          <w:i w:val="0"/>
          <w:color w:val="000000"/>
          <w:sz w:val="23"/>
        </w:rPr>
        <w:t xml:space="preserve"> delivered the opinion of the Court.</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Petitioner challenges the judgment of the Oregon Supreme Court sustaining the City of Tigard’s decision to condition a building permit upon dedication of portions of her property for flood control and a pedestrian and bicycle pathway. 317 Ore. 110, 854 P. 2d 437 (1993). We granted certiorari to decide a question left open in </w:t>
      </w:r>
      <w:r>
        <w:rPr>
          <w:rFonts w:ascii="New Century Schoolbook" w:hAnsi="New Century Schoolbook" w:eastAsia="New Century Schoolbook" w:cs="New Century Schoolbook"/>
          <w:b w:val="0"/>
          <w:i/>
          <w:color w:val="000000"/>
          <w:sz w:val="23"/>
        </w:rPr>
        <w:t>Nollan v. California Coastal Comm’n</w:t>
      </w:r>
      <w:r>
        <w:rPr>
          <w:rFonts w:ascii="New Century Schoolbook" w:hAnsi="New Century Schoolbook" w:eastAsia="New Century Schoolbook" w:cs="New Century Schoolbook"/>
          <w:b w:val="0"/>
          <w:i w:val="0"/>
          <w:color w:val="000000"/>
          <w:sz w:val="23"/>
        </w:rPr>
        <w:t>, 483 U. S. 825 (1987): what degree of connection the Fifth Amendment requires between an adjudicative demand for a property interest and the projected effects of the development for which permission is sought.</w:t>
      </w:r>
    </w:p>
    <w:p>
      <w:pPr>
        <w:pStyle w:val="SectionHeading"/>
      </w:pPr>
      <w:r>
        <w:rPr>
          <w:rFonts w:ascii="New Century Schoolbook" w:hAnsi="New Century Schoolbook" w:eastAsia="New Century Schoolbook" w:cs="New Century Schoolbook"/>
          <w:b w:val="0"/>
          <w:i w:val="0"/>
          <w:color w:val="000000"/>
          <w:sz w:val="23"/>
        </w:rPr>
        <w:t>I</w:t>
      </w:r>
    </w:p>
    <w:p>
      <w:pPr>
        <w:pStyle w:val="OpinionBody"/>
        <w:keepNext w:val="0"/>
        <w:keepLines w:val="0"/>
      </w:pPr>
      <w:r>
        <w:rPr>
          <w:rFonts w:ascii="New Century Schoolbook" w:hAnsi="New Century Schoolbook" w:eastAsia="New Century Schoolbook" w:cs="New Century Schoolbook"/>
          <w:b w:val="0"/>
          <w:i w:val="0"/>
          <w:color w:val="000000"/>
          <w:sz w:val="23"/>
        </w:rPr>
        <w:t>Oregon has maintained a comprehensive land-use program since 1973. Ore. Rev. Stat. §§197.005–197.860 (1991). Cities and counties must adopt plans consistent with statewide goals and implement them through binding land-use regulations. §§197.175(1), 197.250. Tigard, a city of about 30,000 on the southwest edge of Portland, adopted a comprehensive plan and a Community Development Code. Property in the Central Business District is subject to a 15% open-space and landscaping requirement; buildings and paved parking together may cover no more than 85% of a parcel. CDC ch. 18.66, App. to Pet. for Cert. G-16 to G-17.</w:t>
      </w:r>
    </w:p>
    <w:p>
      <w:pPr>
        <w:pStyle w:val="OpinionBody"/>
        <w:keepNext w:val="0"/>
        <w:keepLines w:val="0"/>
      </w:pPr>
      <w:r>
        <w:rPr>
          <w:rFonts w:ascii="New Century Schoolbook" w:hAnsi="New Century Schoolbook" w:eastAsia="New Century Schoolbook" w:cs="New Century Schoolbook"/>
          <w:b w:val="0"/>
          <w:i w:val="0"/>
          <w:color w:val="000000"/>
          <w:sz w:val="23"/>
        </w:rPr>
        <w:t>Traffic studies identified congestion in that district. Tigard responded with a pedestrian and bicycle plan intended to make short trips possible without an automobile. The Code requires new development to facilitate the plan when a site lies beside a designated pathway or greenway. CDC §18.86.040.A.1.b, App. to Brief for Respondent B-33 to B-34. The same provision contemplated dedication and construction of planned paths, or a payment reflecting construction cost when a direct connection could not be made.</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The transportation provision required a development beside a designated route to facilitate pedestrian and bicycle circulation by supplying efficient and continuous connections identified in the plan. When a direct connection could not be made, the Code authorized a deposit reflecting construction cost. </w:t>
      </w:r>
      <w:r>
        <w:rPr>
          <w:rFonts w:ascii="New Century Schoolbook" w:hAnsi="New Century Schoolbook" w:eastAsia="New Century Schoolbook" w:cs="New Century Schoolbook"/>
          <w:b w:val="0"/>
          <w:i/>
          <w:color w:val="000000"/>
          <w:sz w:val="23"/>
        </w:rPr>
        <w:t>Ibid.</w:t>
      </w:r>
      <w:r>
        <w:rPr>
          <w:rFonts w:ascii="New Century Schoolbook" w:hAnsi="New Century Schoolbook" w:eastAsia="New Century Schoolbook" w:cs="New Century Schoolbook"/>
          <w:b w:val="0"/>
          <w:i w:val="0"/>
          <w:color w:val="000000"/>
          <w:sz w:val="23"/>
        </w:rPr>
        <w:t xml:space="preserve"> The ordinance thus supplied Tigard with a planning rule and more than one implementation method. The constitutional question is not whether the route appeared in the plan, but whether the property demanded from this applicant was justified by the effects assigned to her project.</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The city also adopted a Master Drainage Plan for the Fanno Creek Basin. The Plan recorded flooding along the creek, including near Dolan’s parcel, and explained that continuing urbanization would add impervious surface and worsen the problem. It proposed channel work, preservation of the floodplain from structures, and use of greenways to reduce flood damage. Record, Doc. No. F, ch. 2, pp. 2–5 to 2–8; ch. 4, pp. 4–2 to 4–6; ch. 5, pp. 5–16 to 5–21. The Plan also contemplated that costs would be shared according to direct and indirect benefits. </w:t>
      </w:r>
      <w:r>
        <w:rPr>
          <w:rFonts w:ascii="New Century Schoolbook" w:hAnsi="New Century Schoolbook" w:eastAsia="New Century Schoolbook" w:cs="New Century Schoolbook"/>
          <w:b w:val="0"/>
          <w:i/>
          <w:color w:val="000000"/>
          <w:sz w:val="23"/>
        </w:rPr>
        <w:t>Id.</w:t>
      </w:r>
      <w:r>
        <w:rPr>
          <w:rFonts w:ascii="New Century Schoolbook" w:hAnsi="New Century Schoolbook" w:eastAsia="New Century Schoolbook" w:cs="New Century Schoolbook"/>
          <w:b w:val="0"/>
          <w:i w:val="0"/>
          <w:color w:val="000000"/>
          <w:sz w:val="23"/>
        </w:rPr>
        <w:t>, ch. 8, p. 8–11.</w:t>
      </w:r>
    </w:p>
    <w:p>
      <w:pPr>
        <w:pStyle w:val="OpinionBody"/>
        <w:keepNext w:val="0"/>
        <w:keepLines w:val="0"/>
      </w:pPr>
      <w:r>
        <w:rPr>
          <w:rFonts w:ascii="New Century Schoolbook" w:hAnsi="New Century Schoolbook" w:eastAsia="New Century Schoolbook" w:cs="New Century Schoolbook"/>
          <w:b w:val="0"/>
          <w:i w:val="0"/>
          <w:color w:val="000000"/>
          <w:sz w:val="23"/>
        </w:rPr>
        <w:t>The Drainage Plan treated channel excavation, limits on structures, and preservation of creekside land as related components of basin management. It recommended excavation in the area adjoining Dolan’s property and preservation of the floodplain as greenway. App. to Pet. for Cert. G-13, G-38. It did not determine in the abstract what interest each later development would have to convey. That question was left to implementation through the Code and the site-review process.</w:t>
      </w:r>
    </w:p>
    <w:p>
      <w:pPr>
        <w:pStyle w:val="OpinionBody"/>
        <w:keepNext w:val="0"/>
        <w:keepLines w:val="0"/>
      </w:pPr>
      <w:r>
        <w:rPr>
          <w:rFonts w:ascii="New Century Schoolbook" w:hAnsi="New Century Schoolbook" w:eastAsia="New Century Schoolbook" w:cs="New Century Schoolbook"/>
          <w:b w:val="0"/>
          <w:i w:val="0"/>
          <w:color w:val="000000"/>
          <w:sz w:val="23"/>
        </w:rPr>
        <w:t>Florence Dolan owns a plumbing and electric supply store on Main Street in the Central Business District. The existing store occupies about 9,700 square feet on the eastern side of a 1.67-acre parcel; its parking area is gravel. Fanno Creek crosses the southwestern corner and follows the western boundary. The land within the creek’s 100-year floodplain is, because of the year-round flow, of little use for commercial construction. Tigard’s plan places the floodplain within a proposed greenway system.</w:t>
      </w:r>
    </w:p>
    <w:p>
      <w:pPr>
        <w:pStyle w:val="OpinionBody"/>
        <w:keepNext w:val="0"/>
        <w:keepLines w:val="0"/>
      </w:pPr>
      <w:r>
        <w:rPr>
          <w:rFonts w:ascii="New Century Schoolbook" w:hAnsi="New Century Schoolbook" w:eastAsia="New Century Schoolbook" w:cs="New Century Schoolbook"/>
          <w:b w:val="0"/>
          <w:i w:val="0"/>
          <w:color w:val="000000"/>
          <w:sz w:val="23"/>
        </w:rPr>
        <w:t>Dolan sought approval to redevelop the parcel in two phases. The first would nearly double the store to 17,600 square feet and replace the gravel lot with paved parking for 39 vehicles. The old structure would be removed as the new one was built. A later phase proposed another building for complementary businesses and additional parking. The intensified use complied with the uses permitted by the Central Business District zoning. CDC §18.66.030, App. to Brief for Petitioner C-1 to C-3.</w:t>
      </w:r>
    </w:p>
    <w:p>
      <w:pPr>
        <w:pStyle w:val="OpinionBody"/>
        <w:keepNext w:val="0"/>
        <w:keepLines w:val="0"/>
      </w:pPr>
      <w:r>
        <w:rPr>
          <w:rFonts w:ascii="New Century Schoolbook" w:hAnsi="New Century Schoolbook" w:eastAsia="New Century Schoolbook" w:cs="New Century Schoolbook"/>
          <w:b w:val="0"/>
          <w:i w:val="0"/>
          <w:color w:val="000000"/>
          <w:sz w:val="23"/>
        </w:rPr>
        <w:t>The Planning Commission approved the application, but subject to two dedications. First, Dolan was required to convey to the city, as greenway, every part of the site within the 100-year floodplain. Second, she was required to convey an additional strip 15 feet wide, adjoining the floodplain, for a public pedestrian and bicycle pathway. The demanded interests covered about 7,000 square feet, roughly 10% of the parcel. The dedicated land could be counted toward the Code’s 15% open-space requirement, and the city would maintain a landscaped buffer between the greenway and the store. App. to Pet. for Cert. G-28 to G-29, G-43 to G-45.</w:t>
      </w:r>
    </w:p>
    <w:p>
      <w:pPr>
        <w:pStyle w:val="OpinionBody"/>
        <w:keepNext w:val="0"/>
        <w:keepLines w:val="0"/>
      </w:pPr>
      <w:r>
        <w:rPr>
          <w:rFonts w:ascii="New Century Schoolbook" w:hAnsi="New Century Schoolbook" w:eastAsia="New Century Schoolbook" w:cs="New Century Schoolbook"/>
          <w:b w:val="0"/>
          <w:i w:val="0"/>
          <w:color w:val="000000"/>
          <w:sz w:val="23"/>
        </w:rPr>
        <w:t>The applicable site-review standard required dedication of sufficient open land within and adjoining the floodplain as greenway. It also required a portion at a suitable elevation for the planned pedestrian and bicycle path. CDC §18.120.180.A.8, App. to Brief for Respondent B-45 to B-46. The final order translated that standard into a conveyance of all land below the designated floodplain elevation and a 15-foot strip above its eastern boundary. App. to Pet. for Cert. G-43. The building itself was not to intrude into the greenway.</w:t>
      </w:r>
    </w:p>
    <w:p>
      <w:pPr>
        <w:pStyle w:val="OpinionBody"/>
        <w:keepNext w:val="0"/>
        <w:keepLines w:val="0"/>
      </w:pPr>
      <w:r>
        <w:rPr>
          <w:rFonts w:ascii="New Century Schoolbook" w:hAnsi="New Century Schoolbook" w:eastAsia="New Century Schoolbook" w:cs="New Century Schoolbook"/>
          <w:b w:val="0"/>
          <w:i w:val="0"/>
          <w:color w:val="000000"/>
          <w:sz w:val="23"/>
        </w:rPr>
        <w:t>The order used elevation 150.0 as the floodplain boundary. It required conveyance of the property below that elevation and of land extending 15 feet to the east. App. to Pet. for Cert. G-43. The two stated public uses were storm-drainage improvement along Fanno Creek and a pedestrian and bicycle path. The resulting corridor thus combined land that the city wished to keep unbuilt with land on which it wished to secure passage by the public.</w:t>
      </w:r>
    </w:p>
    <w:p>
      <w:pPr>
        <w:pStyle w:val="OpinionBody"/>
        <w:keepNext w:val="0"/>
        <w:keepLines w:val="0"/>
      </w:pPr>
      <w:r>
        <w:rPr>
          <w:rFonts w:ascii="New Century Schoolbook" w:hAnsi="New Century Schoolbook" w:eastAsia="New Century Schoolbook" w:cs="New Century Schoolbook"/>
          <w:b w:val="0"/>
          <w:i w:val="0"/>
          <w:color w:val="000000"/>
          <w:sz w:val="23"/>
        </w:rPr>
        <w:t>The Commission did not rest only on the location of lines in the comprehensive plan. It made findings about Dolan’s project. It considered it reasonable to expect customers and employees to use a path beside the development and noted that the site plan included bicycle parking. Some users of that rack, the Commission thought, would use the Fanno Creek path if it were built. App. to Pet. for Cert. G-24. The Commission further found that the expanded use would add vehicular traffic to nearby collector and arterial streets.</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Its conclusion concerning traffic was stated in general terms. A convenient and safe pathway system, the Commission found, “could offset some of the traffic demand on these nearby streets and lessen the increase in traffic congestion.” </w:t>
      </w:r>
      <w:r>
        <w:rPr>
          <w:rFonts w:ascii="New Century Schoolbook" w:hAnsi="New Century Schoolbook" w:eastAsia="New Century Schoolbook" w:cs="New Century Schoolbook"/>
          <w:b w:val="0"/>
          <w:i/>
          <w:color w:val="000000"/>
          <w:sz w:val="23"/>
        </w:rPr>
        <w:t>Ibid.</w:t>
      </w:r>
      <w:r>
        <w:rPr>
          <w:rFonts w:ascii="New Century Schoolbook" w:hAnsi="New Century Schoolbook" w:eastAsia="New Century Schoolbook" w:cs="New Century Schoolbook"/>
          <w:b w:val="0"/>
          <w:i w:val="0"/>
          <w:color w:val="000000"/>
          <w:sz w:val="23"/>
        </w:rPr>
        <w:t xml:space="preserve"> The city estimated that the larger store would generate roughly 435 additional trips on an average weekday. App. to Pet. for Cert. G-15. The figure identifies a project impact; it does not, by itself, measure the traffic that this easement would remove.</w:t>
      </w:r>
    </w:p>
    <w:p>
      <w:pPr>
        <w:pStyle w:val="OpinionBody"/>
        <w:keepNext w:val="0"/>
        <w:keepLines w:val="0"/>
      </w:pPr>
      <w:r>
        <w:rPr>
          <w:rFonts w:ascii="New Century Schoolbook" w:hAnsi="New Century Schoolbook" w:eastAsia="New Century Schoolbook" w:cs="New Century Schoolbook"/>
          <w:b w:val="0"/>
          <w:i w:val="0"/>
          <w:color w:val="000000"/>
          <w:sz w:val="23"/>
        </w:rPr>
        <w:t>The Commission therefore made two different transportation findings. One concerned likely users: it expected some persons using bicycle parking at the development to use the path. The other concerned system effect: a completed network could reduce some traffic demand. Neither finding estimated the share of project trips that would be displaced by this segment or related that share to the 15-foot public interest selected. We recite the distinction because the lower tribunals treated the findings as sufficient without making that further comparison.</w:t>
      </w:r>
    </w:p>
    <w:p>
      <w:pPr>
        <w:pStyle w:val="OpinionBody"/>
        <w:keepNext w:val="0"/>
        <w:keepLines w:val="0"/>
      </w:pPr>
      <w:r>
        <w:rPr>
          <w:rFonts w:ascii="New Century Schoolbook" w:hAnsi="New Century Schoolbook" w:eastAsia="New Century Schoolbook" w:cs="New Century Schoolbook"/>
          <w:b w:val="0"/>
          <w:i w:val="0"/>
          <w:color w:val="000000"/>
          <w:sz w:val="23"/>
        </w:rPr>
        <w:t>The drainage findings were similar in form. More building area and pavement would increase impervious surface. The Commission found that additional storm water entering an already strained creek and basin would add to the public need to manage the channel and floodplain. It therefore concluded that dedication of the floodplain was related to Dolan’s proposal to intensify use of the site. App. to Pet. for Cert. G-37. The finding connected development to drainage management, but did not separately explain why management required public entry onto the land.</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Dolan requested variances from the dedication standards. Tigard’s Code allowed a variance upon specified showings of undue or unnecessary hardship and permitted an applicant to propose alternative measures addressing expected impacts. CDC §§18.134.010, 18.134.050, App. to Brief for Respondent B-47 to B-50. The criteria directed the decisionmaker to consider effects on the purposes of the Code and neighboring property, circumstances peculiar to the parcel, preservation of city standards to the greatest extent possible, effects on traffic and drainage systems, and whether the requested relief was the minimum needed to alleviate a hardship not self-imposed. </w:t>
      </w:r>
      <w:r>
        <w:rPr>
          <w:rFonts w:ascii="New Century Schoolbook" w:hAnsi="New Century Schoolbook" w:eastAsia="New Century Schoolbook" w:cs="New Century Schoolbook"/>
          <w:b w:val="0"/>
          <w:i/>
          <w:color w:val="000000"/>
          <w:sz w:val="23"/>
        </w:rPr>
        <w:t>Ibid.</w:t>
      </w:r>
    </w:p>
    <w:p>
      <w:pPr>
        <w:pStyle w:val="OpinionBody"/>
        <w:keepNext w:val="0"/>
        <w:keepLines w:val="0"/>
      </w:pPr>
      <w:r>
        <w:rPr>
          <w:rFonts w:ascii="New Century Schoolbook" w:hAnsi="New Century Schoolbook" w:eastAsia="New Century Schoolbook" w:cs="New Century Schoolbook"/>
          <w:b w:val="0"/>
          <w:i w:val="0"/>
          <w:color w:val="000000"/>
          <w:sz w:val="23"/>
        </w:rPr>
        <w:t>Dolan maintained that her project did not conflict with the comprehensive plan; she did not propose a different set of mitigation measures. The Commission denied the variances, and the City Council affirmed with a minor change assigning the city responsibility for surveying and marking the floodplain. App. to Pet. for Cert. G-7. The Oregon Supreme Court did not address what followed from the absence of proposed alternatives. We take the case as it comes to us and do not pass on the constitutionality of the variance provisions.</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Dolan appealed to the Oregon Land Use Board of Appeals. LUBA assumed that substantial evidence supported the Commission’s impact findings. It held that the added impervious surface and runoff bore a reasonable relationship to dedication of the floodplain as greenway. It likewise found a reasonable relationship between the traffic effects of a larger retail building and a pathway offering another means of transportation. </w:t>
      </w:r>
      <w:r>
        <w:rPr>
          <w:rFonts w:ascii="New Century Schoolbook" w:hAnsi="New Century Schoolbook" w:eastAsia="New Century Schoolbook" w:cs="New Century Schoolbook"/>
          <w:b w:val="0"/>
          <w:i/>
          <w:color w:val="000000"/>
          <w:sz w:val="23"/>
        </w:rPr>
        <w:t>Dolan v. Tigard</w:t>
      </w:r>
      <w:r>
        <w:rPr>
          <w:rFonts w:ascii="New Century Schoolbook" w:hAnsi="New Century Schoolbook" w:eastAsia="New Century Schoolbook" w:cs="New Century Schoolbook"/>
          <w:b w:val="0"/>
          <w:i w:val="0"/>
          <w:color w:val="000000"/>
          <w:sz w:val="23"/>
        </w:rPr>
        <w:t>, LUBA 91-161 (Jan. 7, 1992), App. to Pet. for Cert. D-15 to D-16.</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LUBA’s treatment placed the public greenway and the no-build feature under the same drainage purpose. It likewise treated the expected increase in customers and employees, together with the general availability of another means of travel, as a sufficient relationship for the pathway. </w:t>
      </w:r>
      <w:r>
        <w:rPr>
          <w:rFonts w:ascii="New Century Schoolbook" w:hAnsi="New Century Schoolbook" w:eastAsia="New Century Schoolbook" w:cs="New Century Schoolbook"/>
          <w:b w:val="0"/>
          <w:i/>
          <w:color w:val="000000"/>
          <w:sz w:val="23"/>
        </w:rPr>
        <w:t>Ibid.</w:t>
      </w:r>
      <w:r>
        <w:rPr>
          <w:rFonts w:ascii="New Century Schoolbook" w:hAnsi="New Century Schoolbook" w:eastAsia="New Century Schoolbook" w:cs="New Century Schoolbook"/>
          <w:b w:val="0"/>
          <w:i w:val="0"/>
          <w:color w:val="000000"/>
          <w:sz w:val="23"/>
        </w:rPr>
        <w:t xml:space="preserve"> The analysis established that the city’s plans and the development’s effects concerned the same subjects. It did not ask separately whether the public interests demanded were proportionate to the effects found.</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The Oregon Court of Appeals affirmed. 113 Ore. App. 162, 832 P. 2d 853 (1992). The Oregon Supreme Court also affirmed. It understood </w:t>
      </w:r>
      <w:r>
        <w:rPr>
          <w:rFonts w:ascii="New Century Schoolbook" w:hAnsi="New Century Schoolbook" w:eastAsia="New Century Schoolbook" w:cs="New Century Schoolbook"/>
          <w:b w:val="0"/>
          <w:i/>
          <w:color w:val="000000"/>
          <w:sz w:val="23"/>
        </w:rPr>
        <w:t>Nollan</w:t>
      </w:r>
      <w:r>
        <w:rPr>
          <w:rFonts w:ascii="New Century Schoolbook" w:hAnsi="New Century Schoolbook" w:eastAsia="New Century Schoolbook" w:cs="New Century Schoolbook"/>
          <w:b w:val="0"/>
          <w:i w:val="0"/>
          <w:color w:val="000000"/>
          <w:sz w:val="23"/>
        </w:rPr>
        <w:t xml:space="preserve"> to ask whether an exaction serves the same purpose as denial of the permit would serve. 317 Ore., at 118–121, 854 P. 2d, at 442–443. Because restricting development in the floodplain could serve flood control, and a path could serve traffic reduction, the court found the conditions reasonably related to the effects of Dolan’s project. We granted certiorari, 510 U. S. 989 (1993).</w:t>
      </w:r>
    </w:p>
    <w:p>
      <w:pPr>
        <w:sectPr>
          <w:headerReference w:type="first" r:id="rId21"/>
          <w:headerReference w:type="default" r:id="rId22"/>
          <w:headerReference w:type="even" r:id="rId23"/>
          <w:footerReference w:type="first" r:id="rId24"/>
          <w:footerReference w:type="default" r:id="rId25"/>
          <w:footerReference w:type="even" r:id="rId26"/>
          <w:pgSz w:w="8640" w:h="12960"/>
          <w:pgMar w:top="1368" w:right="1440" w:bottom="1181" w:left="1440" w:header="446" w:footer="403" w:gutter="0"/>
          <w:cols w:space="720"/>
          <w:titlePg/>
          <w:docGrid w:linePitch="360"/>
          <w:pgNumType w:start="377"/>
        </w:sectPr>
      </w:pPr>
    </w:p>
    <w:p>
      <w:pPr>
        <w:pStyle w:val="SectionHeading"/>
      </w:pPr>
      <w:r>
        <w:rPr>
          <w:rFonts w:ascii="New Century Schoolbook" w:hAnsi="New Century Schoolbook" w:eastAsia="New Century Schoolbook" w:cs="New Century Schoolbook"/>
          <w:b w:val="0"/>
          <w:i w:val="0"/>
          <w:color w:val="000000"/>
          <w:sz w:val="23"/>
        </w:rPr>
        <w:t>II</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The Takings Clause, made applicable to the States through the Fourteenth Amendment, provides that private property shall not “be taken for public use, without just compensation.” U. S. Const., Amdt. 5; </w:t>
      </w:r>
      <w:r>
        <w:rPr>
          <w:rFonts w:ascii="New Century Schoolbook" w:hAnsi="New Century Schoolbook" w:eastAsia="New Century Schoolbook" w:cs="New Century Schoolbook"/>
          <w:b w:val="0"/>
          <w:i/>
          <w:color w:val="000000"/>
          <w:sz w:val="23"/>
        </w:rPr>
        <w:t>Chicago, B. &amp; Q. R. Co. v. Chicago</w:t>
      </w:r>
      <w:r>
        <w:rPr>
          <w:rFonts w:ascii="New Century Schoolbook" w:hAnsi="New Century Schoolbook" w:eastAsia="New Century Schoolbook" w:cs="New Century Schoolbook"/>
          <w:b w:val="0"/>
          <w:i w:val="0"/>
          <w:color w:val="000000"/>
          <w:sz w:val="23"/>
        </w:rPr>
        <w:t xml:space="preserve">, 166 U. S. 226, 239 (1897). Its purpose is not to prevent government from pursuing public ends. It is to prevent government from requiring “some people alone to bear public burdens” that fairness assigns to the public. </w:t>
      </w:r>
      <w:r>
        <w:rPr>
          <w:rFonts w:ascii="New Century Schoolbook" w:hAnsi="New Century Schoolbook" w:eastAsia="New Century Schoolbook" w:cs="New Century Schoolbook"/>
          <w:b w:val="0"/>
          <w:i/>
          <w:color w:val="000000"/>
          <w:sz w:val="23"/>
        </w:rPr>
        <w:t>Armstrong v. United States</w:t>
      </w:r>
      <w:r>
        <w:rPr>
          <w:rFonts w:ascii="New Century Schoolbook" w:hAnsi="New Century Schoolbook" w:eastAsia="New Century Schoolbook" w:cs="New Century Schoolbook"/>
          <w:b w:val="0"/>
          <w:i w:val="0"/>
          <w:color w:val="000000"/>
          <w:sz w:val="23"/>
        </w:rPr>
        <w:t>, 364 U. S. 40, 49 (1960). That principle identifies the question here.</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Had Tigard simply directed Dolan to convey permanent public easements along Fanno Creek, a taking would have occurred. </w:t>
      </w:r>
      <w:r>
        <w:rPr>
          <w:rFonts w:ascii="New Century Schoolbook" w:hAnsi="New Century Schoolbook" w:eastAsia="New Century Schoolbook" w:cs="New Century Schoolbook"/>
          <w:b w:val="0"/>
          <w:i/>
          <w:color w:val="000000"/>
          <w:sz w:val="23"/>
        </w:rPr>
        <w:t>Nollan</w:t>
      </w:r>
      <w:r>
        <w:rPr>
          <w:rFonts w:ascii="New Century Schoolbook" w:hAnsi="New Century Schoolbook" w:eastAsia="New Century Schoolbook" w:cs="New Century Schoolbook"/>
          <w:b w:val="0"/>
          <w:i w:val="0"/>
          <w:color w:val="000000"/>
          <w:sz w:val="23"/>
        </w:rPr>
        <w:t xml:space="preserve">, 483 U. S., at 831. A public easement removes from the owner the authority to exclude others, one of the central interests commonly described as property. </w:t>
      </w:r>
      <w:r>
        <w:rPr>
          <w:rFonts w:ascii="New Century Schoolbook" w:hAnsi="New Century Schoolbook" w:eastAsia="New Century Schoolbook" w:cs="New Century Schoolbook"/>
          <w:b w:val="0"/>
          <w:i/>
          <w:color w:val="000000"/>
          <w:sz w:val="23"/>
        </w:rPr>
        <w:t>Kaiser Aetna v. United States</w:t>
      </w:r>
      <w:r>
        <w:rPr>
          <w:rFonts w:ascii="New Century Schoolbook" w:hAnsi="New Century Schoolbook" w:eastAsia="New Century Schoolbook" w:cs="New Century Schoolbook"/>
          <w:b w:val="0"/>
          <w:i w:val="0"/>
          <w:color w:val="000000"/>
          <w:sz w:val="23"/>
        </w:rPr>
        <w:t>, 444 U. S. 164, 176 (1979). The fact that one easement would lie on land unsuitable for a building does not erase that interest. Nor does the commercial character of the parcel turn an invitation to customers during business hours into public access at all times and for all purposes.</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Local government nevertheless possesses broad authority to plan land uses. </w:t>
      </w:r>
      <w:r>
        <w:rPr>
          <w:rFonts w:ascii="New Century Schoolbook" w:hAnsi="New Century Schoolbook" w:eastAsia="New Century Schoolbook" w:cs="New Century Schoolbook"/>
          <w:b w:val="0"/>
          <w:i/>
          <w:color w:val="000000"/>
          <w:sz w:val="23"/>
        </w:rPr>
        <w:t>Village of Euclid v. Ambler Realty Co.</w:t>
      </w:r>
      <w:r>
        <w:rPr>
          <w:rFonts w:ascii="New Century Schoolbook" w:hAnsi="New Century Schoolbook" w:eastAsia="New Century Schoolbook" w:cs="New Century Schoolbook"/>
          <w:b w:val="0"/>
          <w:i w:val="0"/>
          <w:color w:val="000000"/>
          <w:sz w:val="23"/>
        </w:rPr>
        <w:t xml:space="preserve">, 272 U. S. 365 (1926). General rules may limit development, reserve open space, regulate density, and reduce the value that an owner otherwise might realize. See </w:t>
      </w:r>
      <w:r>
        <w:rPr>
          <w:rFonts w:ascii="New Century Schoolbook" w:hAnsi="New Century Schoolbook" w:eastAsia="New Century Schoolbook" w:cs="New Century Schoolbook"/>
          <w:b w:val="0"/>
          <w:i/>
          <w:color w:val="000000"/>
          <w:sz w:val="23"/>
        </w:rPr>
        <w:t>Pennsylvania Coal Co. v. Mahon</w:t>
      </w:r>
      <w:r>
        <w:rPr>
          <w:rFonts w:ascii="New Century Schoolbook" w:hAnsi="New Century Schoolbook" w:eastAsia="New Century Schoolbook" w:cs="New Century Schoolbook"/>
          <w:b w:val="0"/>
          <w:i w:val="0"/>
          <w:color w:val="000000"/>
          <w:sz w:val="23"/>
        </w:rPr>
        <w:t xml:space="preserve">, 260 U. S. 393, 413 (1922); </w:t>
      </w:r>
      <w:r>
        <w:rPr>
          <w:rFonts w:ascii="New Century Schoolbook" w:hAnsi="New Century Schoolbook" w:eastAsia="New Century Schoolbook" w:cs="New Century Schoolbook"/>
          <w:b w:val="0"/>
          <w:i/>
          <w:color w:val="000000"/>
          <w:sz w:val="23"/>
        </w:rPr>
        <w:t>Agins v. City of Tiburon</w:t>
      </w:r>
      <w:r>
        <w:rPr>
          <w:rFonts w:ascii="New Century Schoolbook" w:hAnsi="New Century Schoolbook" w:eastAsia="New Century Schoolbook" w:cs="New Century Schoolbook"/>
          <w:b w:val="0"/>
          <w:i w:val="0"/>
          <w:color w:val="000000"/>
          <w:sz w:val="23"/>
        </w:rPr>
        <w:t>, 447 U. S. 255, 260 (1980). The conditions before us differ in two respects. They followed an adjudicative decision on a particular parcel, and they did not merely restrict Dolan’s use. They required her to deed defined property interests to the city for public use.</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The permit setting does not alter the property taken. Under the doctrine of unconstitutional conditions, government may not make surrender of a constitutional right the price of a discretionary benefit when the demanded surrender lacks the constitutionally required relationship to the benefit. See </w:t>
      </w:r>
      <w:r>
        <w:rPr>
          <w:rFonts w:ascii="New Century Schoolbook" w:hAnsi="New Century Schoolbook" w:eastAsia="New Century Schoolbook" w:cs="New Century Schoolbook"/>
          <w:b w:val="0"/>
          <w:i/>
          <w:color w:val="000000"/>
          <w:sz w:val="23"/>
        </w:rPr>
        <w:t>Perry v. Sindermann</w:t>
      </w:r>
      <w:r>
        <w:rPr>
          <w:rFonts w:ascii="New Century Schoolbook" w:hAnsi="New Century Schoolbook" w:eastAsia="New Century Schoolbook" w:cs="New Century Schoolbook"/>
          <w:b w:val="0"/>
          <w:i w:val="0"/>
          <w:color w:val="000000"/>
          <w:sz w:val="23"/>
        </w:rPr>
        <w:t xml:space="preserve">, 408 U. S. 593, 597 (1972); </w:t>
      </w:r>
      <w:r>
        <w:rPr>
          <w:rFonts w:ascii="New Century Schoolbook" w:hAnsi="New Century Schoolbook" w:eastAsia="New Century Schoolbook" w:cs="New Century Schoolbook"/>
          <w:b w:val="0"/>
          <w:i/>
          <w:color w:val="000000"/>
          <w:sz w:val="23"/>
        </w:rPr>
        <w:t>Pickering v. Board of Ed. of Township High School Dist. 205, Will Cty.</w:t>
      </w:r>
      <w:r>
        <w:rPr>
          <w:rFonts w:ascii="New Century Schoolbook" w:hAnsi="New Century Schoolbook" w:eastAsia="New Century Schoolbook" w:cs="New Century Schoolbook"/>
          <w:b w:val="0"/>
          <w:i w:val="0"/>
          <w:color w:val="000000"/>
          <w:sz w:val="23"/>
        </w:rPr>
        <w:t>, 391 U. S. 563, 568 (1968). Applied here, the doctrine does not entitle an owner to build free from lawful regulation. It prevents a city from using the permit decision to obtain without compensation a public easement it would otherwise have to purchase.</w:t>
      </w:r>
    </w:p>
    <w:p>
      <w:pPr>
        <w:pStyle w:val="OpinionBody"/>
        <w:keepNext w:val="0"/>
        <w:keepLines w:val="0"/>
      </w:pPr>
      <w:r>
        <w:rPr>
          <w:rFonts w:ascii="New Century Schoolbook" w:hAnsi="New Century Schoolbook" w:eastAsia="New Century Schoolbook" w:cs="New Century Schoolbook"/>
          <w:b w:val="0"/>
          <w:i w:val="0"/>
          <w:color w:val="000000"/>
          <w:sz w:val="23"/>
        </w:rPr>
        <w:t>A city therefore cannot avoid the Takings Clause by attaching the conveyance to a permit that it might deny. At the same time, a development may create a need for improvements that government can fairly require the developer to address. A larger paved site may add runoff; a larger store may add trips. The constitutional inquiry separates mitigation of those effects from acquisition of a public project through the leverage of permitting.</w:t>
      </w:r>
    </w:p>
    <w:p>
      <w:pPr>
        <w:pStyle w:val="OpinionBody"/>
        <w:keepNext w:val="0"/>
        <w:keepLines w:val="0"/>
      </w:pPr>
      <w:r>
        <w:rPr>
          <w:rFonts w:ascii="New Century Schoolbook" w:hAnsi="New Century Schoolbook" w:eastAsia="New Century Schoolbook" w:cs="New Century Schoolbook"/>
          <w:b w:val="0"/>
          <w:i/>
          <w:color w:val="000000"/>
          <w:sz w:val="23"/>
        </w:rPr>
        <w:t>Nollan</w:t>
      </w:r>
      <w:r>
        <w:rPr>
          <w:rFonts w:ascii="New Century Schoolbook" w:hAnsi="New Century Schoolbook" w:eastAsia="New Century Schoolbook" w:cs="New Century Schoolbook"/>
          <w:b w:val="0"/>
          <w:i w:val="0"/>
          <w:color w:val="000000"/>
          <w:sz w:val="23"/>
        </w:rPr>
        <w:t xml:space="preserve"> supplies the first boundary. An adjudicative conveyance condition must bear an essential nexus to a legitimate interest that would support denial or restriction of the proposed use. 483 U. S., at 837. If the condition serves a different end, the permit is being used as an occasion to acquire property rather than as a means of addressing development. If the nexus exists, however, another question remains. The Court must determine whether the degree of the demanded property interest bears the required relation to the projected impact. </w:t>
      </w:r>
      <w:r>
        <w:rPr>
          <w:rFonts w:ascii="New Century Schoolbook" w:hAnsi="New Century Schoolbook" w:eastAsia="New Century Schoolbook" w:cs="New Century Schoolbook"/>
          <w:b w:val="0"/>
          <w:i/>
          <w:color w:val="000000"/>
          <w:sz w:val="23"/>
        </w:rPr>
        <w:t>Id.</w:t>
      </w:r>
      <w:r>
        <w:rPr>
          <w:rFonts w:ascii="New Century Schoolbook" w:hAnsi="New Century Schoolbook" w:eastAsia="New Century Schoolbook" w:cs="New Century Schoolbook"/>
          <w:b w:val="0"/>
          <w:i w:val="0"/>
          <w:color w:val="000000"/>
          <w:sz w:val="23"/>
        </w:rPr>
        <w:t xml:space="preserve">, at 834. </w:t>
      </w:r>
      <w:r>
        <w:rPr>
          <w:rFonts w:ascii="New Century Schoolbook" w:hAnsi="New Century Schoolbook" w:eastAsia="New Century Schoolbook" w:cs="New Century Schoolbook"/>
          <w:b w:val="0"/>
          <w:i/>
          <w:color w:val="000000"/>
          <w:sz w:val="23"/>
        </w:rPr>
        <w:t>Nollan</w:t>
      </w:r>
      <w:r>
        <w:rPr>
          <w:rFonts w:ascii="New Century Schoolbook" w:hAnsi="New Century Schoolbook" w:eastAsia="New Century Schoolbook" w:cs="New Century Schoolbook"/>
          <w:b w:val="0"/>
          <w:i w:val="0"/>
          <w:color w:val="000000"/>
          <w:sz w:val="23"/>
        </w:rPr>
        <w:t xml:space="preserve"> did not answer that question because the condition there failed even the first step. This case requires the answer.</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This distinction does not depend upon a claim that regulation has deprived the parcel of all economic use. Dolan continues to operate a commercial enterprise, and the proposed expansion confirms that the land retains substantial value. See </w:t>
      </w:r>
      <w:r>
        <w:rPr>
          <w:rFonts w:ascii="New Century Schoolbook" w:hAnsi="New Century Schoolbook" w:eastAsia="New Century Schoolbook" w:cs="New Century Schoolbook"/>
          <w:b w:val="0"/>
          <w:i/>
          <w:color w:val="000000"/>
          <w:sz w:val="23"/>
        </w:rPr>
        <w:t>Lucas v. South Carolina Coastal Council</w:t>
      </w:r>
      <w:r>
        <w:rPr>
          <w:rFonts w:ascii="New Century Schoolbook" w:hAnsi="New Century Schoolbook" w:eastAsia="New Century Schoolbook" w:cs="New Century Schoolbook"/>
          <w:b w:val="0"/>
          <w:i w:val="0"/>
          <w:color w:val="000000"/>
          <w:sz w:val="23"/>
        </w:rPr>
        <w:t xml:space="preserve">, 505 U. S. 1003, 1019 (1992). Nor do we apply the several-factor inquiry ordinarily associated with restrictions upon use. See </w:t>
      </w:r>
      <w:r>
        <w:rPr>
          <w:rFonts w:ascii="New Century Schoolbook" w:hAnsi="New Century Schoolbook" w:eastAsia="New Century Schoolbook" w:cs="New Century Schoolbook"/>
          <w:b w:val="0"/>
          <w:i/>
          <w:color w:val="000000"/>
          <w:sz w:val="23"/>
        </w:rPr>
        <w:t>Penn Central Transp. Co. v. New York City</w:t>
      </w:r>
      <w:r>
        <w:rPr>
          <w:rFonts w:ascii="New Century Schoolbook" w:hAnsi="New Century Schoolbook" w:eastAsia="New Century Schoolbook" w:cs="New Century Schoolbook"/>
          <w:b w:val="0"/>
          <w:i w:val="0"/>
          <w:color w:val="000000"/>
          <w:sz w:val="23"/>
        </w:rPr>
        <w:t xml:space="preserve">, 438 U. S. 104, 124 (1978). The interests demanded here are permanent easements for public use. A compelled public right of access presents a question distinct from the diminution in value that may follow from a general land-use rule. See </w:t>
      </w:r>
      <w:r>
        <w:rPr>
          <w:rFonts w:ascii="New Century Schoolbook" w:hAnsi="New Century Schoolbook" w:eastAsia="New Century Schoolbook" w:cs="New Century Schoolbook"/>
          <w:b w:val="0"/>
          <w:i/>
          <w:color w:val="000000"/>
          <w:sz w:val="23"/>
        </w:rPr>
        <w:t>Kaiser Aetna</w:t>
      </w:r>
      <w:r>
        <w:rPr>
          <w:rFonts w:ascii="New Century Schoolbook" w:hAnsi="New Century Schoolbook" w:eastAsia="New Century Schoolbook" w:cs="New Century Schoolbook"/>
          <w:b w:val="0"/>
          <w:i w:val="0"/>
          <w:color w:val="000000"/>
          <w:sz w:val="23"/>
        </w:rPr>
        <w:t>, 444 U. S., at 178–180.</w:t>
      </w:r>
    </w:p>
    <w:p>
      <w:pPr>
        <w:pStyle w:val="OpinionBody"/>
        <w:keepNext w:val="0"/>
        <w:keepLines w:val="0"/>
      </w:pPr>
      <w:r>
        <w:rPr>
          <w:rFonts w:ascii="New Century Schoolbook" w:hAnsi="New Century Schoolbook" w:eastAsia="New Century Schoolbook" w:cs="New Century Schoolbook"/>
          <w:b w:val="0"/>
          <w:i w:val="0"/>
          <w:color w:val="000000"/>
          <w:sz w:val="23"/>
        </w:rPr>
        <w:t>Petitioner does not contend that Tigard must permit the expansion without regard to its effects. The city may insist that added runoff and traffic be addressed through valid restrictions or proportionate mitigation. The dispute concerns the means Tigard selected: public passage across a defined part of the parcel. That interest would require compensation if acquired directly. Its inclusion in a permit order therefore requires the city to identify the development effect that makes the conveyance an appropriate condition.</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The value of the permit cannot supply that missing connection. If permission to develop were itself sufficient consideration for any conveyance, the power to deny a permit would include the power to obtain an unrelated easement without compensation. </w:t>
      </w:r>
      <w:r>
        <w:rPr>
          <w:rFonts w:ascii="New Century Schoolbook" w:hAnsi="New Century Schoolbook" w:eastAsia="New Century Schoolbook" w:cs="New Century Schoolbook"/>
          <w:b w:val="0"/>
          <w:i/>
          <w:color w:val="000000"/>
          <w:sz w:val="23"/>
        </w:rPr>
        <w:t>Nollan</w:t>
      </w:r>
      <w:r>
        <w:rPr>
          <w:rFonts w:ascii="New Century Schoolbook" w:hAnsi="New Century Schoolbook" w:eastAsia="New Century Schoolbook" w:cs="New Century Schoolbook"/>
          <w:b w:val="0"/>
          <w:i w:val="0"/>
          <w:color w:val="000000"/>
          <w:sz w:val="23"/>
        </w:rPr>
        <w:t xml:space="preserve"> rejected that proposition. 483 U. S., at 837. The city may demand compliance with lawful limits on development. It may not convert the owner’s application into an opportunity to obtain a property interest unless the Constitution’s required relation is shown.</w:t>
      </w:r>
    </w:p>
    <w:p>
      <w:pPr>
        <w:pStyle w:val="OpinionBody"/>
        <w:keepNext w:val="0"/>
        <w:keepLines w:val="0"/>
      </w:pPr>
      <w:r>
        <w:rPr>
          <w:rFonts w:ascii="New Century Schoolbook" w:hAnsi="New Century Schoolbook" w:eastAsia="New Century Schoolbook" w:cs="New Century Schoolbook"/>
          <w:b w:val="0"/>
          <w:i w:val="0"/>
          <w:color w:val="000000"/>
          <w:sz w:val="23"/>
        </w:rPr>
        <w:t>The Takings Clause does not lose force in a land-use proceeding, but not every such proceeding triggers this inquiry. The category follows Tigard’s demand for permanent public easements in an individualized permit decision. We turn first to nexus and then to degree.</w:t>
      </w:r>
    </w:p>
    <w:p>
      <w:pPr>
        <w:sectPr>
          <w:headerReference w:type="first" r:id="rId27"/>
          <w:headerReference w:type="default" r:id="rId28"/>
          <w:headerReference w:type="even" r:id="rId29"/>
          <w:footerReference w:type="first" r:id="rId30"/>
          <w:footerReference w:type="default" r:id="rId31"/>
          <w:footerReference w:type="even" r:id="rId32"/>
          <w:pgSz w:w="8640" w:h="12960"/>
          <w:pgMar w:top="1368" w:right="1440" w:bottom="1181" w:left="1440" w:header="446" w:footer="403" w:gutter="0"/>
          <w:cols w:space="720"/>
          <w:titlePg/>
          <w:docGrid w:linePitch="360"/>
          <w:pgNumType w:start="383"/>
        </w:sectPr>
      </w:pPr>
    </w:p>
    <w:p>
      <w:pPr>
        <w:pStyle w:val="SectionHeading"/>
      </w:pPr>
      <w:r>
        <w:rPr>
          <w:rFonts w:ascii="New Century Schoolbook" w:hAnsi="New Century Schoolbook" w:eastAsia="New Century Schoolbook" w:cs="New Century Schoolbook"/>
          <w:b w:val="0"/>
          <w:i w:val="0"/>
          <w:color w:val="000000"/>
          <w:sz w:val="23"/>
        </w:rPr>
        <w:t>III</w:t>
      </w:r>
    </w:p>
    <w:p>
      <w:pPr>
        <w:pStyle w:val="SectionHeading"/>
      </w:pPr>
      <w:r>
        <w:rPr>
          <w:rFonts w:ascii="New Century Schoolbook" w:hAnsi="New Century Schoolbook" w:eastAsia="New Century Schoolbook" w:cs="New Century Schoolbook"/>
          <w:b w:val="0"/>
          <w:i w:val="0"/>
          <w:color w:val="000000"/>
          <w:sz w:val="23"/>
        </w:rPr>
        <w:t>A</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In </w:t>
      </w:r>
      <w:r>
        <w:rPr>
          <w:rFonts w:ascii="New Century Schoolbook" w:hAnsi="New Century Schoolbook" w:eastAsia="New Century Schoolbook" w:cs="New Century Schoolbook"/>
          <w:b w:val="0"/>
          <w:i/>
          <w:color w:val="000000"/>
          <w:sz w:val="23"/>
        </w:rPr>
        <w:t>Nollan</w:t>
      </w:r>
      <w:r>
        <w:rPr>
          <w:rFonts w:ascii="New Century Schoolbook" w:hAnsi="New Century Schoolbook" w:eastAsia="New Century Schoolbook" w:cs="New Century Schoolbook"/>
          <w:b w:val="0"/>
          <w:i w:val="0"/>
          <w:color w:val="000000"/>
          <w:sz w:val="23"/>
        </w:rPr>
        <w:t>, the California Coastal Commission required a lateral public-access easement across beachfront property as the price of replacing a bungalow with a larger house. The Commission invoked the interest in protecting the public’s view of the ocean. That interest could support measures directed to the obstruction of sight, including a viewing point. It could not explain an easement allowing the public to pass along the beach. The condition and the asserted injury served different ends. 483 U. S., at 835–837.</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The distinction was not between public access and visual access as abstract civic goods. It was between the effect attributed to the Nollans’ house and the property interest demanded in response. A viewing place could have addressed an obstruction of the view. Passage along the shore could not. Once the stated end and the demanded means were separated, the absence of nexus showed that the permit process had become a means of obtaining an easement. </w:t>
      </w:r>
      <w:r>
        <w:rPr>
          <w:rFonts w:ascii="New Century Schoolbook" w:hAnsi="New Century Schoolbook" w:eastAsia="New Century Schoolbook" w:cs="New Century Schoolbook"/>
          <w:b w:val="0"/>
          <w:i/>
          <w:color w:val="000000"/>
          <w:sz w:val="23"/>
        </w:rPr>
        <w:t>Id.</w:t>
      </w:r>
      <w:r>
        <w:rPr>
          <w:rFonts w:ascii="New Century Schoolbook" w:hAnsi="New Century Schoolbook" w:eastAsia="New Century Schoolbook" w:cs="New Century Schoolbook"/>
          <w:b w:val="0"/>
          <w:i w:val="0"/>
          <w:color w:val="000000"/>
          <w:sz w:val="23"/>
        </w:rPr>
        <w:t>, at 836–837.</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Tigard’s conditions are not similarly disconnected. Preventing flood damage along Fanno Creek and reducing traffic congestion in the Central Business District are legitimate public purposes. </w:t>
      </w:r>
      <w:r>
        <w:rPr>
          <w:rFonts w:ascii="New Century Schoolbook" w:hAnsi="New Century Schoolbook" w:eastAsia="New Century Schoolbook" w:cs="New Century Schoolbook"/>
          <w:b w:val="0"/>
          <w:i/>
          <w:color w:val="000000"/>
          <w:sz w:val="23"/>
        </w:rPr>
        <w:t>Agins</w:t>
      </w:r>
      <w:r>
        <w:rPr>
          <w:rFonts w:ascii="New Century Schoolbook" w:hAnsi="New Century Schoolbook" w:eastAsia="New Century Schoolbook" w:cs="New Century Schoolbook"/>
          <w:b w:val="0"/>
          <w:i w:val="0"/>
          <w:color w:val="000000"/>
          <w:sz w:val="23"/>
        </w:rPr>
        <w:t>, 447 U. S., at 260–262. Dolan proposes to enlarge the store substantially and pave the parking area. More impervious surface will increase the volume and rate of runoff. Keeping structures out of the floodplain bears an essential nexus to confining that effect and preserving drainage capacity.</w:t>
      </w:r>
    </w:p>
    <w:p>
      <w:pPr>
        <w:pStyle w:val="OpinionBody"/>
        <w:keepNext w:val="0"/>
        <w:keepLines w:val="0"/>
      </w:pPr>
      <w:r>
        <w:rPr>
          <w:rFonts w:ascii="New Century Schoolbook" w:hAnsi="New Century Schoolbook" w:eastAsia="New Century Schoolbook" w:cs="New Century Schoolbook"/>
          <w:b w:val="0"/>
          <w:i w:val="0"/>
          <w:color w:val="000000"/>
          <w:sz w:val="23"/>
        </w:rPr>
        <w:t>Nexus is stated at the level of purpose. The city need not show at this stage that each recreational visitor prevents a measure of flooding or that each cyclist replaces a particular automobile. It must show that the kind of condition imposed serves an interest implicated by the proposed development. The floodplain restriction and transportation facility meet that threshold. Whether the public interests demanded are proportionate in their nature and dimensions remains open.</w:t>
      </w:r>
    </w:p>
    <w:p>
      <w:pPr>
        <w:pStyle w:val="OpinionBody"/>
        <w:keepNext w:val="0"/>
        <w:keepLines w:val="0"/>
      </w:pPr>
      <w:r>
        <w:rPr>
          <w:rFonts w:ascii="New Century Schoolbook" w:hAnsi="New Century Schoolbook" w:eastAsia="New Century Schoolbook" w:cs="New Century Schoolbook"/>
          <w:b w:val="0"/>
          <w:i w:val="0"/>
          <w:color w:val="000000"/>
          <w:sz w:val="23"/>
        </w:rPr>
        <w:t>The transportation condition also satisfies the first step. A larger retail establishment will draw additional customers and employees. Pedestrian and bicycle facilities can provide an alternative to some motor-vehicle trips. Contemporary planning analysis recognizes that dedicated space for walking and bicycling may remove potential vehicles from streets and improve system flow. A. Nelson, Public Provision of Pedestrian and Bicycle Access Ways: Public Policy Rationale and the Nature of Private Benefits 11, Center for Planning Development, Georgia Institute of Technology, Working Paper Series (Jan. 1994); see also Intermodal Surface Transportation Efficiency Act of 1991, Pub. L. 102–240, 105 Stat. 1914. The connection is sufficient for nexus.</w:t>
      </w:r>
    </w:p>
    <w:p>
      <w:pPr>
        <w:pStyle w:val="OpinionBody"/>
        <w:keepNext w:val="0"/>
        <w:keepLines w:val="0"/>
      </w:pPr>
      <w:r>
        <w:rPr>
          <w:rFonts w:ascii="New Century Schoolbook" w:hAnsi="New Century Schoolbook" w:eastAsia="New Century Schoolbook" w:cs="New Century Schoolbook"/>
          <w:b w:val="0"/>
          <w:i w:val="0"/>
          <w:color w:val="000000"/>
          <w:sz w:val="23"/>
        </w:rPr>
        <w:t>These conclusions do not sustain the dedications. They identify the kinds of impacts that the city may address. A public greenway includes a right of entry that keeping the floodplain open does not. A permanent 15-foot pathway is a defined property interest, not simply an instruction that customers be offered bicycle parking. Whether those added interests are justified depends on the second inquiry.</w:t>
      </w:r>
    </w:p>
    <w:p>
      <w:pPr>
        <w:sectPr>
          <w:headerReference w:type="first" r:id="rId33"/>
          <w:headerReference w:type="default" r:id="rId34"/>
          <w:headerReference w:type="even" r:id="rId35"/>
          <w:footerReference w:type="first" r:id="rId36"/>
          <w:footerReference w:type="default" r:id="rId37"/>
          <w:footerReference w:type="even" r:id="rId38"/>
          <w:pgSz w:w="8640" w:h="12960"/>
          <w:pgMar w:top="1368" w:right="1440" w:bottom="1181" w:left="1440" w:header="446" w:footer="403" w:gutter="0"/>
          <w:cols w:space="720"/>
          <w:titlePg/>
          <w:docGrid w:linePitch="360"/>
          <w:pgNumType w:start="386"/>
        </w:sectPr>
      </w:pPr>
    </w:p>
    <w:p>
      <w:pPr>
        <w:pStyle w:val="SectionHeading"/>
      </w:pPr>
      <w:r>
        <w:rPr>
          <w:rFonts w:ascii="New Century Schoolbook" w:hAnsi="New Century Schoolbook" w:eastAsia="New Century Schoolbook" w:cs="New Century Schoolbook"/>
          <w:b w:val="0"/>
          <w:i w:val="0"/>
          <w:color w:val="000000"/>
          <w:sz w:val="23"/>
        </w:rPr>
        <w:t>B</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The second inquiry concerns degree. A use restriction may effect a taking when it is not reasonably necessary to accomplish a substantial governmental purpose. </w:t>
      </w:r>
      <w:r>
        <w:rPr>
          <w:rFonts w:ascii="New Century Schoolbook" w:hAnsi="New Century Schoolbook" w:eastAsia="New Century Schoolbook" w:cs="New Century Schoolbook"/>
          <w:b w:val="0"/>
          <w:i/>
          <w:color w:val="000000"/>
          <w:sz w:val="23"/>
        </w:rPr>
        <w:t>Nollan</w:t>
      </w:r>
      <w:r>
        <w:rPr>
          <w:rFonts w:ascii="New Century Schoolbook" w:hAnsi="New Century Schoolbook" w:eastAsia="New Century Schoolbook" w:cs="New Century Schoolbook"/>
          <w:b w:val="0"/>
          <w:i w:val="0"/>
          <w:color w:val="000000"/>
          <w:sz w:val="23"/>
        </w:rPr>
        <w:t xml:space="preserve">, 483 U. S., at 834, quoting </w:t>
      </w:r>
      <w:r>
        <w:rPr>
          <w:rFonts w:ascii="New Century Schoolbook" w:hAnsi="New Century Schoolbook" w:eastAsia="New Century Schoolbook" w:cs="New Century Schoolbook"/>
          <w:b w:val="0"/>
          <w:i/>
          <w:color w:val="000000"/>
          <w:sz w:val="23"/>
        </w:rPr>
        <w:t>Penn Central Transp. Co. v. New York City</w:t>
      </w:r>
      <w:r>
        <w:rPr>
          <w:rFonts w:ascii="New Century Schoolbook" w:hAnsi="New Century Schoolbook" w:eastAsia="New Century Schoolbook" w:cs="New Century Schoolbook"/>
          <w:b w:val="0"/>
          <w:i w:val="0"/>
          <w:color w:val="000000"/>
          <w:sz w:val="23"/>
        </w:rPr>
        <w:t>, 438 U. S. 104, 127 (1978). The condition must remain a response to effects attributable to the development, not an occasion to finance or assemble a public project. State courts have considered dedication conditions for many years, and their decisions disclose three general approaches. The differences matter because each locates the line between regulation and acquisition at a different point.</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In some jurisdictions, generalized statements of connection appear to suffice. See, e.g., </w:t>
      </w:r>
      <w:r>
        <w:rPr>
          <w:rFonts w:ascii="New Century Schoolbook" w:hAnsi="New Century Schoolbook" w:eastAsia="New Century Schoolbook" w:cs="New Century Schoolbook"/>
          <w:b w:val="0"/>
          <w:i/>
          <w:color w:val="000000"/>
          <w:sz w:val="23"/>
        </w:rPr>
        <w:t>Billings Properties, Inc. v. Yellowstone County</w:t>
      </w:r>
      <w:r>
        <w:rPr>
          <w:rFonts w:ascii="New Century Schoolbook" w:hAnsi="New Century Schoolbook" w:eastAsia="New Century Schoolbook" w:cs="New Century Schoolbook"/>
          <w:b w:val="0"/>
          <w:i w:val="0"/>
          <w:color w:val="000000"/>
          <w:sz w:val="23"/>
        </w:rPr>
        <w:t xml:space="preserve">, 144 Mont. 25, 394 P. 2d 182 (1964); </w:t>
      </w:r>
      <w:r>
        <w:rPr>
          <w:rFonts w:ascii="New Century Schoolbook" w:hAnsi="New Century Schoolbook" w:eastAsia="New Century Schoolbook" w:cs="New Century Schoolbook"/>
          <w:b w:val="0"/>
          <w:i/>
          <w:color w:val="000000"/>
          <w:sz w:val="23"/>
        </w:rPr>
        <w:t>Jenad, Inc. v. Scarsdale</w:t>
      </w:r>
      <w:r>
        <w:rPr>
          <w:rFonts w:ascii="New Century Schoolbook" w:hAnsi="New Century Schoolbook" w:eastAsia="New Century Schoolbook" w:cs="New Century Schoolbook"/>
          <w:b w:val="0"/>
          <w:i w:val="0"/>
          <w:color w:val="000000"/>
          <w:sz w:val="23"/>
        </w:rPr>
        <w:t>, 18 N. Y. 2d 78, 218 N. E. 2d 673 (1966). That approach is too lax when the government demands a property interest that, standing alone, requires compensation. A plan may show that a city needs parks, paths, or drainage corridors. It does not show that one owner’s project created the need for the particular land demanded from that owner.</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At the other end is the “specifically and uniquely attributable” test associated with </w:t>
      </w:r>
      <w:r>
        <w:rPr>
          <w:rFonts w:ascii="New Century Schoolbook" w:hAnsi="New Century Schoolbook" w:eastAsia="New Century Schoolbook" w:cs="New Century Schoolbook"/>
          <w:b w:val="0"/>
          <w:i/>
          <w:color w:val="000000"/>
          <w:sz w:val="23"/>
        </w:rPr>
        <w:t>Pioneer Trust &amp; Savings Bank v. Mount Prospect</w:t>
      </w:r>
      <w:r>
        <w:rPr>
          <w:rFonts w:ascii="New Century Schoolbook" w:hAnsi="New Century Schoolbook" w:eastAsia="New Century Schoolbook" w:cs="New Century Schoolbook"/>
          <w:b w:val="0"/>
          <w:i w:val="0"/>
          <w:color w:val="000000"/>
          <w:sz w:val="23"/>
        </w:rPr>
        <w:t>, 22 Ill. 2d 375, 380–381, 176 N. E. 2d 799, 802 (1961). That formulation requires direct proportionality to a need uniquely created by the development. The Federal Constitution does not require so exact a correspondence. Development effects occur within shared systems. Runoff enters a basin; trips enter a street network. Constitutional protection does not depend upon isolating each molecule of water or each vehicle.</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A number of courts take an intermediate position. They require a reasonable relationship between the dedication and needs occasioned by the proposed use. See </w:t>
      </w:r>
      <w:r>
        <w:rPr>
          <w:rFonts w:ascii="New Century Schoolbook" w:hAnsi="New Century Schoolbook" w:eastAsia="New Century Schoolbook" w:cs="New Century Schoolbook"/>
          <w:b w:val="0"/>
          <w:i/>
          <w:color w:val="000000"/>
          <w:sz w:val="23"/>
        </w:rPr>
        <w:t>Simpson v. North Platte</w:t>
      </w:r>
      <w:r>
        <w:rPr>
          <w:rFonts w:ascii="New Century Schoolbook" w:hAnsi="New Century Schoolbook" w:eastAsia="New Century Schoolbook" w:cs="New Century Schoolbook"/>
          <w:b w:val="0"/>
          <w:i w:val="0"/>
          <w:color w:val="000000"/>
          <w:sz w:val="23"/>
        </w:rPr>
        <w:t xml:space="preserve">, 206 Neb. 240, 245–248, 292 N. W. 2d 297, 301–302 (1980); </w:t>
      </w:r>
      <w:r>
        <w:rPr>
          <w:rFonts w:ascii="New Century Schoolbook" w:hAnsi="New Century Schoolbook" w:eastAsia="New Century Schoolbook" w:cs="New Century Schoolbook"/>
          <w:b w:val="0"/>
          <w:i/>
          <w:color w:val="000000"/>
          <w:sz w:val="23"/>
        </w:rPr>
        <w:t>Jordan v. Menomonee Falls</w:t>
      </w:r>
      <w:r>
        <w:rPr>
          <w:rFonts w:ascii="New Century Schoolbook" w:hAnsi="New Century Schoolbook" w:eastAsia="New Century Schoolbook" w:cs="New Century Schoolbook"/>
          <w:b w:val="0"/>
          <w:i w:val="0"/>
          <w:color w:val="000000"/>
          <w:sz w:val="23"/>
        </w:rPr>
        <w:t xml:space="preserve">, 28 Wis. 2d 608, 137 N. W. 2d 442 (1965); </w:t>
      </w:r>
      <w:r>
        <w:rPr>
          <w:rFonts w:ascii="New Century Schoolbook" w:hAnsi="New Century Schoolbook" w:eastAsia="New Century Schoolbook" w:cs="New Century Schoolbook"/>
          <w:b w:val="0"/>
          <w:i/>
          <w:color w:val="000000"/>
          <w:sz w:val="23"/>
        </w:rPr>
        <w:t>Collis v. Bloomington</w:t>
      </w:r>
      <w:r>
        <w:rPr>
          <w:rFonts w:ascii="New Century Schoolbook" w:hAnsi="New Century Schoolbook" w:eastAsia="New Century Schoolbook" w:cs="New Century Schoolbook"/>
          <w:b w:val="0"/>
          <w:i w:val="0"/>
          <w:color w:val="000000"/>
          <w:sz w:val="23"/>
        </w:rPr>
        <w:t xml:space="preserve">, 310 Minn. 5, 246 N. W. 2d 19 (1976); </w:t>
      </w:r>
      <w:r>
        <w:rPr>
          <w:rFonts w:ascii="New Century Schoolbook" w:hAnsi="New Century Schoolbook" w:eastAsia="New Century Schoolbook" w:cs="New Century Schoolbook"/>
          <w:b w:val="0"/>
          <w:i/>
          <w:color w:val="000000"/>
          <w:sz w:val="23"/>
        </w:rPr>
        <w:t>College Station v. Turtle Rock Corp.</w:t>
      </w:r>
      <w:r>
        <w:rPr>
          <w:rFonts w:ascii="New Century Schoolbook" w:hAnsi="New Century Schoolbook" w:eastAsia="New Century Schoolbook" w:cs="New Century Schoolbook"/>
          <w:b w:val="0"/>
          <w:i w:val="0"/>
          <w:color w:val="000000"/>
          <w:sz w:val="23"/>
        </w:rPr>
        <w:t xml:space="preserve">, 680 S. W. 2d 802, 807 (Tex. 1984); </w:t>
      </w:r>
      <w:r>
        <w:rPr>
          <w:rFonts w:ascii="New Century Schoolbook" w:hAnsi="New Century Schoolbook" w:eastAsia="New Century Schoolbook" w:cs="New Century Schoolbook"/>
          <w:b w:val="0"/>
          <w:i/>
          <w:color w:val="000000"/>
          <w:sz w:val="23"/>
        </w:rPr>
        <w:t>Call v. West Jordan</w:t>
      </w:r>
      <w:r>
        <w:rPr>
          <w:rFonts w:ascii="New Century Schoolbook" w:hAnsi="New Century Schoolbook" w:eastAsia="New Century Schoolbook" w:cs="New Century Schoolbook"/>
          <w:b w:val="0"/>
          <w:i w:val="0"/>
          <w:color w:val="000000"/>
          <w:sz w:val="23"/>
        </w:rPr>
        <w:t>, 606 P. 2d 217, 220 (Utah 1979). This approach is closest to the constitutional line because it requires more than a useful public purpose while stopping short of mathematical identity.</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The value of this intermediate line lies in what it requires the government to explain. The dedication must be occasioned by the construction proposed, not merely made convenient by the owner’s request for permission. See </w:t>
      </w:r>
      <w:r>
        <w:rPr>
          <w:rFonts w:ascii="New Century Schoolbook" w:hAnsi="New Century Schoolbook" w:eastAsia="New Century Schoolbook" w:cs="New Century Schoolbook"/>
          <w:b w:val="0"/>
          <w:i/>
          <w:color w:val="000000"/>
          <w:sz w:val="23"/>
        </w:rPr>
        <w:t>Simpson</w:t>
      </w:r>
      <w:r>
        <w:rPr>
          <w:rFonts w:ascii="New Century Schoolbook" w:hAnsi="New Century Schoolbook" w:eastAsia="New Century Schoolbook" w:cs="New Century Schoolbook"/>
          <w:b w:val="0"/>
          <w:i w:val="0"/>
          <w:color w:val="000000"/>
          <w:sz w:val="23"/>
        </w:rPr>
        <w:t>, 206 Neb., at 245–248, 292 N. W. 2d, at 301–302. At the same time, the municipality may account for the practical imprecision of estimating future runoff and travel. The Constitution requires a demonstrated relation, not a pretense of exact measurement.</w:t>
      </w:r>
    </w:p>
    <w:p>
      <w:pPr>
        <w:pStyle w:val="OpinionBody"/>
        <w:keepNext w:val="0"/>
        <w:keepLines w:val="0"/>
      </w:pPr>
      <w:r>
        <w:rPr>
          <w:rFonts w:ascii="New Century Schoolbook" w:hAnsi="New Century Schoolbook" w:eastAsia="New Century Schoolbook" w:cs="New Century Schoolbook"/>
          <w:b w:val="0"/>
          <w:i w:val="0"/>
          <w:color w:val="000000"/>
          <w:sz w:val="23"/>
        </w:rPr>
        <w:t>We do not adopt the name “reasonable relationship.” That phrase is easily confused with rational-basis review, the minimum scrutiny associated with general social and economic regulation. The inquiry here is more particular. The city has selected a defined property interest from an identified owner and made its conveyance the condition of permission to develop. The Fifth Amendment requires rough proportionality between the demand and the effects attributed to the proposed use.</w:t>
      </w:r>
    </w:p>
    <w:p>
      <w:pPr>
        <w:pStyle w:val="OpinionBody"/>
        <w:keepNext w:val="0"/>
        <w:keepLines w:val="0"/>
      </w:pPr>
      <w:r>
        <w:rPr>
          <w:rFonts w:ascii="New Century Schoolbook" w:hAnsi="New Century Schoolbook" w:eastAsia="New Century Schoolbook" w:cs="New Century Schoolbook"/>
          <w:b w:val="0"/>
          <w:i w:val="0"/>
          <w:color w:val="000000"/>
          <w:sz w:val="23"/>
        </w:rPr>
        <w:t>Rough proportionality has two dimensions. The dedication must answer the impact in nature, and its extent must be proportionate to that impact. No precise mathematical calculation is required. The city must, however, make some sort of individualized determination connecting this required dedication, in both nature and extent, to the proposed development’s impact. An engineering formula, drainage study, or traffic table may inform that work. It cannot replace the final step of applying the information to this parcel and explaining why this property interest is proportionate to this project.</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The burden follows the category. For most generally applicable zoning regulations, the ordinary presumption remains where </w:t>
      </w:r>
      <w:r>
        <w:rPr>
          <w:rFonts w:ascii="New Century Schoolbook" w:hAnsi="New Century Schoolbook" w:eastAsia="New Century Schoolbook" w:cs="New Century Schoolbook"/>
          <w:b w:val="0"/>
          <w:i/>
          <w:color w:val="000000"/>
          <w:sz w:val="23"/>
        </w:rPr>
        <w:t>Euclid</w:t>
      </w:r>
      <w:r>
        <w:rPr>
          <w:rFonts w:ascii="New Century Schoolbook" w:hAnsi="New Century Schoolbook" w:eastAsia="New Century Schoolbook" w:cs="New Century Schoolbook"/>
          <w:b w:val="0"/>
          <w:i w:val="0"/>
          <w:color w:val="000000"/>
          <w:sz w:val="23"/>
        </w:rPr>
        <w:t xml:space="preserve"> placed it, and the challenger must show an arbitrary invasion of property rights. Here the city made an adjudicative decision concerning one parcel and required a permanent conveyance. In that setting, the city bears the burden of demonstrating the relationship that permits the condition to stand without compensation. See </w:t>
      </w:r>
      <w:r>
        <w:rPr>
          <w:rFonts w:ascii="New Century Schoolbook" w:hAnsi="New Century Schoolbook" w:eastAsia="New Century Schoolbook" w:cs="New Century Schoolbook"/>
          <w:b w:val="0"/>
          <w:i/>
          <w:color w:val="000000"/>
          <w:sz w:val="23"/>
        </w:rPr>
        <w:t>Nollan</w:t>
      </w:r>
      <w:r>
        <w:rPr>
          <w:rFonts w:ascii="New Century Schoolbook" w:hAnsi="New Century Schoolbook" w:eastAsia="New Century Schoolbook" w:cs="New Century Schoolbook"/>
          <w:b w:val="0"/>
          <w:i w:val="0"/>
          <w:color w:val="000000"/>
          <w:sz w:val="23"/>
        </w:rPr>
        <w:t>, 483 U. S., at 836. This does not shift every burden in every land-use dispute. It requires the party demanding the easement to justify that demand.</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The dissent calls the dedications a form of business regulation and would preserve the usual presumption on that account. The label does not answer the constitutional question. A warrantless search of commercial premises remains subject to the Fourth Amendment, and regulation of a utility’s commercial speech remains subject to the First. See </w:t>
      </w:r>
      <w:r>
        <w:rPr>
          <w:rFonts w:ascii="New Century Schoolbook" w:hAnsi="New Century Schoolbook" w:eastAsia="New Century Schoolbook" w:cs="New Century Schoolbook"/>
          <w:b w:val="0"/>
          <w:i/>
          <w:color w:val="000000"/>
          <w:sz w:val="23"/>
        </w:rPr>
        <w:t>Marshall v. Barlow’s, Inc.</w:t>
      </w:r>
      <w:r>
        <w:rPr>
          <w:rFonts w:ascii="New Century Schoolbook" w:hAnsi="New Century Schoolbook" w:eastAsia="New Century Schoolbook" w:cs="New Century Schoolbook"/>
          <w:b w:val="0"/>
          <w:i w:val="0"/>
          <w:color w:val="000000"/>
          <w:sz w:val="23"/>
        </w:rPr>
        <w:t xml:space="preserve">, 436 U. S. 307 (1978); </w:t>
      </w:r>
      <w:r>
        <w:rPr>
          <w:rFonts w:ascii="New Century Schoolbook" w:hAnsi="New Century Schoolbook" w:eastAsia="New Century Schoolbook" w:cs="New Century Schoolbook"/>
          <w:b w:val="0"/>
          <w:i/>
          <w:color w:val="000000"/>
          <w:sz w:val="23"/>
        </w:rPr>
        <w:t>Central Hudson Gas &amp; Electric Corp. v. Public Service Comm’n of New York</w:t>
      </w:r>
      <w:r>
        <w:rPr>
          <w:rFonts w:ascii="New Century Schoolbook" w:hAnsi="New Century Schoolbook" w:eastAsia="New Century Schoolbook" w:cs="New Century Schoolbook"/>
          <w:b w:val="0"/>
          <w:i w:val="0"/>
          <w:color w:val="000000"/>
          <w:sz w:val="23"/>
        </w:rPr>
        <w:t>, 447 U. S. 557 (1980). The Takings Clause likewise retains force when government acts upon a business. What matters here is the compelled public easement, not the commercial setting in which it was demanded.</w:t>
      </w:r>
    </w:p>
    <w:p>
      <w:pPr>
        <w:pStyle w:val="OpinionBody"/>
        <w:keepNext w:val="0"/>
        <w:keepLines w:val="0"/>
      </w:pPr>
      <w:r>
        <w:rPr>
          <w:rFonts w:ascii="New Century Schoolbook" w:hAnsi="New Century Schoolbook" w:eastAsia="New Century Schoolbook" w:cs="New Century Schoolbook"/>
          <w:b w:val="0"/>
          <w:i w:val="0"/>
          <w:color w:val="000000"/>
          <w:sz w:val="23"/>
        </w:rPr>
        <w:t>Tigard and the dissent emphasize that land-use decisions often rest on judgment rather than exact prediction. We agree. Rough proportionality is not a least-restrictive-means test, a demand for regression analysis, or an invitation to substitute judicial planning preferences for local expertise. It asks for a reasoned measure appropriate to the information reasonably available. What it does not permit is a progression from “this project adds some runoff or traffic” to “this owner must supply whatever segment of a planned public system happens to cross the parcel.”</w:t>
      </w:r>
    </w:p>
    <w:p>
      <w:pPr>
        <w:pStyle w:val="OpinionBody"/>
        <w:keepNext w:val="0"/>
        <w:keepLines w:val="0"/>
      </w:pPr>
      <w:r>
        <w:rPr>
          <w:rFonts w:ascii="New Century Schoolbook" w:hAnsi="New Century Schoolbook" w:eastAsia="New Century Schoolbook" w:cs="New Century Schoolbook"/>
          <w:b w:val="0"/>
          <w:i w:val="0"/>
          <w:color w:val="000000"/>
          <w:sz w:val="23"/>
        </w:rPr>
        <w:t>The two dimensions of the inquiry should not be collapsed. A demand may answer the right kind of impact and still be excessive in scope. A transportation easement, for example, may address added travel while extending farther, lasting longer, or granting broader public rights than the attributable traffic can justify. Conversely, a modest acreage may fail at the threshold of nature if it adds public entry to a condition that needs only to keep land unbuilt. The court therefore examines the interest actually demanded, not merely the planning label attached to it.</w:t>
      </w:r>
    </w:p>
    <w:p>
      <w:pPr>
        <w:pStyle w:val="OpinionBody"/>
        <w:keepNext w:val="0"/>
        <w:keepLines w:val="0"/>
      </w:pPr>
      <w:r>
        <w:rPr>
          <w:rFonts w:ascii="New Century Schoolbook" w:hAnsi="New Century Schoolbook" w:eastAsia="New Century Schoolbook" w:cs="New Century Schoolbook"/>
          <w:b w:val="0"/>
          <w:i w:val="0"/>
          <w:color w:val="000000"/>
          <w:sz w:val="23"/>
        </w:rPr>
        <w:t>An individualized determination need not begin with a study commissioned anew for every parcel. A municipality may employ accepted trip-generation rates, drainage coefficients, engineering models, and standards used for comparable development. Those tools can make administration more consistent and prediction more reliable. They remain inputs. The decisionmaker must apply them to the proposed use, identify the impact assigned to that use, and explain why the character and dimensions of the demanded property interest respond to that impact. Generality in the underlying data does not excuse generality in the conclusion.</w:t>
      </w:r>
    </w:p>
    <w:p>
      <w:pPr>
        <w:pStyle w:val="OpinionBody"/>
        <w:keepNext w:val="0"/>
        <w:keepLines w:val="0"/>
      </w:pPr>
      <w:r>
        <w:rPr>
          <w:rFonts w:ascii="New Century Schoolbook" w:hAnsi="New Century Schoolbook" w:eastAsia="New Century Schoolbook" w:cs="New Century Schoolbook"/>
          <w:b w:val="0"/>
          <w:i w:val="0"/>
          <w:color w:val="000000"/>
          <w:sz w:val="23"/>
        </w:rPr>
        <w:t>The distinction also preserves the role of comprehensive planning. A city may identify connected greenways and pathways in advance. Such planning can disclose public needs, select sound methods, and prevent improvised decisions. But a citywide plan establishes the desirability of the public project, not the proportion of its cost that one development may constitutionally be required to bear. That second proposition must be shown in the adjudication applying the plan.</w:t>
      </w:r>
    </w:p>
    <w:p>
      <w:pPr>
        <w:sectPr>
          <w:headerReference w:type="first" r:id="rId39"/>
          <w:headerReference w:type="default" r:id="rId40"/>
          <w:headerReference w:type="even" r:id="rId41"/>
          <w:footerReference w:type="first" r:id="rId42"/>
          <w:footerReference w:type="default" r:id="rId43"/>
          <w:footerReference w:type="even" r:id="rId44"/>
          <w:pgSz w:w="8640" w:h="12960"/>
          <w:pgMar w:top="1368" w:right="1440" w:bottom="1181" w:left="1440" w:header="446" w:footer="403" w:gutter="0"/>
          <w:cols w:space="720"/>
          <w:titlePg/>
          <w:docGrid w:linePitch="360"/>
          <w:pgNumType w:start="388"/>
        </w:sectPr>
      </w:pPr>
    </w:p>
    <w:p>
      <w:pPr>
        <w:pStyle w:val="SectionHeading"/>
      </w:pPr>
      <w:r>
        <w:rPr>
          <w:rFonts w:ascii="New Century Schoolbook" w:hAnsi="New Century Schoolbook" w:eastAsia="New Century Schoolbook" w:cs="New Century Schoolbook"/>
          <w:b w:val="0"/>
          <w:i w:val="0"/>
          <w:color w:val="000000"/>
          <w:sz w:val="23"/>
        </w:rPr>
        <w:t>C</w:t>
      </w:r>
    </w:p>
    <w:p>
      <w:pPr>
        <w:pStyle w:val="OpinionBody"/>
        <w:keepNext w:val="0"/>
        <w:keepLines w:val="0"/>
      </w:pPr>
      <w:r>
        <w:rPr>
          <w:rFonts w:ascii="New Century Schoolbook" w:hAnsi="New Century Schoolbook" w:eastAsia="New Century Schoolbook" w:cs="New Century Schoolbook"/>
          <w:b w:val="0"/>
          <w:i w:val="0"/>
          <w:color w:val="000000"/>
          <w:sz w:val="23"/>
        </w:rPr>
        <w:t>We apply that standard first to the floodplain dedication. Increasing impervious surface will increase the quantity and rate of storm-water runoff from Dolan’s property. Record, Doc. No. F, ch. 4, p. 4–29. Keeping the floodplain open and free of structures can therefore confine pressures on Fanno Creek attributable to the project. The Code’s 15% open-space requirement already required substantial undeveloped land, and the floodplain would nearly satisfy it. A private restriction against building in that area could address the identified runoff impact.</w:t>
      </w:r>
    </w:p>
    <w:p>
      <w:pPr>
        <w:pStyle w:val="OpinionBody"/>
        <w:keepNext w:val="0"/>
        <w:keepLines w:val="0"/>
      </w:pPr>
      <w:r>
        <w:rPr>
          <w:rFonts w:ascii="New Century Schoolbook" w:hAnsi="New Century Schoolbook" w:eastAsia="New Century Schoolbook" w:cs="New Century Schoolbook"/>
          <w:b w:val="0"/>
          <w:i w:val="0"/>
          <w:color w:val="000000"/>
          <w:sz w:val="23"/>
        </w:rPr>
        <w:t>Tigard demanded more. It required Dolan to convey the floodplain for inclusion in a public greenway. The additional interest is public entry. The city has not explained how recreational access reduces runoff or protects drainage capacity. Keeping land open describes what may be built there. A public easement answers who may enter. The two may occupy the same ground, but they are not the same property interest and do not address the same injury.</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The difference is not nominal. A permanent greenway easement removes Dolan’s right to control the time and manner in which the public enters the creekside portion of her parcel. </w:t>
      </w:r>
      <w:r>
        <w:rPr>
          <w:rFonts w:ascii="New Century Schoolbook" w:hAnsi="New Century Schoolbook" w:eastAsia="New Century Schoolbook" w:cs="New Century Schoolbook"/>
          <w:b w:val="0"/>
          <w:i/>
          <w:color w:val="000000"/>
          <w:sz w:val="23"/>
        </w:rPr>
        <w:t>Kaiser Aetna</w:t>
      </w:r>
      <w:r>
        <w:rPr>
          <w:rFonts w:ascii="New Century Schoolbook" w:hAnsi="New Century Schoolbook" w:eastAsia="New Century Schoolbook" w:cs="New Century Schoolbook"/>
          <w:b w:val="0"/>
          <w:i w:val="0"/>
          <w:color w:val="000000"/>
          <w:sz w:val="23"/>
        </w:rPr>
        <w:t xml:space="preserve">, 444 U. S., at 176. </w:t>
      </w:r>
      <w:r>
        <w:rPr>
          <w:rFonts w:ascii="New Century Schoolbook" w:hAnsi="New Century Schoolbook" w:eastAsia="New Century Schoolbook" w:cs="New Century Schoolbook"/>
          <w:b w:val="0"/>
          <w:i/>
          <w:color w:val="000000"/>
          <w:sz w:val="23"/>
        </w:rPr>
        <w:t>PruneYard Shopping Center v. Robins</w:t>
      </w:r>
      <w:r>
        <w:rPr>
          <w:rFonts w:ascii="New Century Schoolbook" w:hAnsi="New Century Schoolbook" w:eastAsia="New Century Schoolbook" w:cs="New Century Schoolbook"/>
          <w:b w:val="0"/>
          <w:i w:val="0"/>
          <w:color w:val="000000"/>
          <w:sz w:val="23"/>
        </w:rPr>
        <w:t xml:space="preserve">, 447 U. S. 74 (1980), does not establish otherwise. The large shopping center there invited tens of thousands of patrons daily and retained authority to adopt time, place, and manner rules for state-protected expressive activity. </w:t>
      </w:r>
      <w:r>
        <w:rPr>
          <w:rFonts w:ascii="New Century Schoolbook" w:hAnsi="New Century Schoolbook" w:eastAsia="New Century Schoolbook" w:cs="New Century Schoolbook"/>
          <w:b w:val="0"/>
          <w:i/>
          <w:color w:val="000000"/>
          <w:sz w:val="23"/>
        </w:rPr>
        <w:t>Id.</w:t>
      </w:r>
      <w:r>
        <w:rPr>
          <w:rFonts w:ascii="New Century Schoolbook" w:hAnsi="New Century Schoolbook" w:eastAsia="New Century Schoolbook" w:cs="New Century Schoolbook"/>
          <w:b w:val="0"/>
          <w:i w:val="0"/>
          <w:color w:val="000000"/>
          <w:sz w:val="23"/>
        </w:rPr>
        <w:t>, at 83–85. Dolan’s invitation to customers during business hours does not dedicate a creekside corridor to continuous recreational use or permit the city to extinguish all control over access.</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A public greenway might be proportionate if the proposed development displaced existing public access or created a need for replacement access. See </w:t>
      </w:r>
      <w:r>
        <w:rPr>
          <w:rFonts w:ascii="New Century Schoolbook" w:hAnsi="New Century Schoolbook" w:eastAsia="New Century Schoolbook" w:cs="New Century Schoolbook"/>
          <w:b w:val="0"/>
          <w:i/>
          <w:color w:val="000000"/>
          <w:sz w:val="23"/>
        </w:rPr>
        <w:t>Nollan</w:t>
      </w:r>
      <w:r>
        <w:rPr>
          <w:rFonts w:ascii="New Century Schoolbook" w:hAnsi="New Century Schoolbook" w:eastAsia="New Century Schoolbook" w:cs="New Century Schoolbook"/>
          <w:b w:val="0"/>
          <w:i w:val="0"/>
          <w:color w:val="000000"/>
          <w:sz w:val="23"/>
        </w:rPr>
        <w:t>, 483 U. S., at 836. No such finding appears here. Tigard’s drainage evidence justifies management of impervious surface and the floodplain. It does not establish that Dolan’s project creates a need for recreational visitors. The city therefore has not made the individualized determination required to take the public-access interest without compensation.</w:t>
      </w:r>
    </w:p>
    <w:p>
      <w:pPr>
        <w:pStyle w:val="OpinionBody"/>
        <w:keepNext w:val="0"/>
        <w:keepLines w:val="0"/>
      </w:pPr>
      <w:r>
        <w:rPr>
          <w:rFonts w:ascii="New Century Schoolbook" w:hAnsi="New Century Schoolbook" w:eastAsia="New Century Schoolbook" w:cs="New Century Schoolbook"/>
          <w:b w:val="0"/>
          <w:i w:val="0"/>
          <w:color w:val="000000"/>
          <w:sz w:val="23"/>
        </w:rPr>
        <w:t>The city describes public access as ancillary to drainage management. That description does not reduce the interest taken. An easement may serve several public purposes, and a city may acquire land for a combined drainage and recreational corridor. Rough proportionality nonetheless requires the adjudication to identify what the development makes necessary. On this record, added runoff explains open space and drainage control. It does not explain surrender of the owner’s authority over entry.</w:t>
      </w:r>
    </w:p>
    <w:p>
      <w:pPr>
        <w:pStyle w:val="OpinionBody"/>
        <w:keepNext w:val="0"/>
        <w:keepLines w:val="0"/>
      </w:pPr>
      <w:r>
        <w:rPr>
          <w:rFonts w:ascii="New Century Schoolbook" w:hAnsi="New Century Schoolbook" w:eastAsia="New Century Schoolbook" w:cs="New Century Schoolbook"/>
          <w:b w:val="0"/>
          <w:i w:val="0"/>
          <w:color w:val="000000"/>
          <w:sz w:val="23"/>
        </w:rPr>
        <w:t>The pathway condition presents a different defect. There is no doubt that the larger store and paved parking lot will add traffic. Tigard reports roughly 435 additional trips on an average weekday. Public ways commonly may be required, in proportionate measure, to address congestion attributable to new development. The Commission also did more than identify a line on a map. It expected some customers or employees who used the project’s bicycle rack to use the path if constructed.</w:t>
      </w:r>
    </w:p>
    <w:p>
      <w:pPr>
        <w:pStyle w:val="OpinionBody"/>
        <w:keepNext w:val="0"/>
        <w:keepLines w:val="0"/>
      </w:pPr>
      <w:r>
        <w:rPr>
          <w:rFonts w:ascii="New Century Schoolbook" w:hAnsi="New Century Schoolbook" w:eastAsia="New Century Schoolbook" w:cs="New Century Schoolbook"/>
          <w:b w:val="0"/>
          <w:i w:val="0"/>
          <w:color w:val="000000"/>
          <w:sz w:val="23"/>
        </w:rPr>
        <w:t>Those findings establish a possible use and a general transportation benefit. They do not relate the expected offset to the permanent 15-foot public easement demanded. The Commission found that a pathway system “could offset some of the traffic demand” and lessen increased congestion. App. to Pet. for Cert. G-24. The difference between “could” and “would” is not controlling as a choice of words. A careful finding may use conditional language, and an unsupported prediction does not become sufficient by replacing one verb with another. The defect is the missing inference and measure.</w:t>
      </w:r>
    </w:p>
    <w:p>
      <w:pPr>
        <w:pStyle w:val="OpinionBody"/>
        <w:keepNext w:val="0"/>
        <w:keepLines w:val="0"/>
      </w:pPr>
      <w:r>
        <w:rPr>
          <w:rFonts w:ascii="New Century Schoolbook" w:hAnsi="New Century Schoolbook" w:eastAsia="New Century Schoolbook" w:cs="New Century Schoolbook"/>
          <w:b w:val="0"/>
          <w:i w:val="0"/>
          <w:color w:val="000000"/>
          <w:sz w:val="23"/>
        </w:rPr>
        <w:t>Justice Peterson, dissenting below, observed that “could offset” differs from a finding that the system will, or is likely to, offset traffic. 317 Ore., at 127, 854 P. 2d, at 447. That observation exposes the uncertainty in the Commission’s reasoning, but the constitutional rule does not turn upon one verb. The finding would remain insufficient if it said “would” without relating the predicted use of this segment to the traffic assigned to this development.</w:t>
      </w:r>
    </w:p>
    <w:p>
      <w:pPr>
        <w:pStyle w:val="OpinionBody"/>
        <w:keepNext w:val="0"/>
        <w:keepLines w:val="0"/>
      </w:pPr>
      <w:r>
        <w:rPr>
          <w:rFonts w:ascii="New Century Schoolbook" w:hAnsi="New Century Schoolbook" w:eastAsia="New Century Schoolbook" w:cs="New Century Schoolbook"/>
          <w:b w:val="0"/>
          <w:i w:val="0"/>
          <w:color w:val="000000"/>
          <w:sz w:val="23"/>
        </w:rPr>
        <w:t>Tigard did not estimate how many of the roughly 435 added trips might be avoided, how use of this segment related to those trips, or why the path required a permanent easement 15 feet wide. It did not compare the burden of the demanded interest with the project’s share of the transportation problem. Mathematical precision was unnecessary. Some effort to relate the nature and scale of the easement to the attributable increase was required. A generalized benefit to the transportation system does not establish rough proportionality to Dolan’s attributable impact.</w:t>
      </w:r>
    </w:p>
    <w:p>
      <w:pPr>
        <w:pStyle w:val="OpinionBody"/>
        <w:keepNext w:val="0"/>
        <w:keepLines w:val="0"/>
      </w:pPr>
      <w:r>
        <w:rPr>
          <w:rFonts w:ascii="New Century Schoolbook" w:hAnsi="New Century Schoolbook" w:eastAsia="New Century Schoolbook" w:cs="New Century Schoolbook"/>
          <w:b w:val="0"/>
          <w:i w:val="0"/>
          <w:color w:val="000000"/>
          <w:sz w:val="23"/>
        </w:rPr>
        <w:t>The city’s continuity policy does not cure that omission. Omitting the segment across Dolan’s parcel may interrupt a planned route. That fact shows why the city wants the land. It does not show why this development must supply it. When the segment is needed to complete a public system but the project’s impacts do not justify the easement demanded, the city may acquire it by condemnation and pay compensation. It may not treat the location of a planned line as the proportionality determination.</w:t>
      </w:r>
    </w:p>
    <w:p>
      <w:pPr>
        <w:pStyle w:val="OpinionBody"/>
        <w:keepNext w:val="0"/>
        <w:keepLines w:val="0"/>
      </w:pPr>
      <w:r>
        <w:rPr>
          <w:rFonts w:ascii="New Century Schoolbook" w:hAnsi="New Century Schoolbook" w:eastAsia="New Century Schoolbook" w:cs="New Century Schoolbook"/>
          <w:b w:val="0"/>
          <w:i w:val="0"/>
          <w:color w:val="000000"/>
          <w:sz w:val="23"/>
        </w:rPr>
        <w:t>The dissent would consider the transaction as a whole. Tigard offered permission for a larger store, credit toward the open-space requirement, and the benefit of public drainage work and maintenance of a landscaped buffer. Those matters are real. They may bear on valuation, on other land-use questions, or on a voluntary agreement. They do not demonstrate that the proposed development created a need for public recreational access through the floodplain or for this pathway easement in this extent. Benefits elsewhere in a regulatory transaction cannot perform the missing constitutional comparison.</w:t>
      </w:r>
    </w:p>
    <w:p>
      <w:pPr>
        <w:pStyle w:val="OpinionBody"/>
        <w:keepNext w:val="0"/>
        <w:keepLines w:val="0"/>
      </w:pPr>
      <w:r>
        <w:rPr>
          <w:rFonts w:ascii="New Century Schoolbook" w:hAnsi="New Century Schoolbook" w:eastAsia="New Century Schoolbook" w:cs="New Century Schoolbook"/>
          <w:b w:val="0"/>
          <w:i w:val="0"/>
          <w:color w:val="000000"/>
          <w:sz w:val="23"/>
        </w:rPr>
        <w:t>Nor does the availability of permission establish that the dedications are an exchange Dolan must accept as a unit. The city may deny development that violates valid land-use restrictions, and it may offer benefits for concessions in a voluntary bargain. The present order rested on the asserted authority to require these conveyances because of this project’s impacts. That justification succeeds or fails on the connection the city demonstrated, not on the aggregate value of every feature of the approval.</w:t>
      </w:r>
    </w:p>
    <w:p>
      <w:pPr>
        <w:pStyle w:val="OpinionBody"/>
        <w:keepNext w:val="0"/>
        <w:keepLines w:val="0"/>
      </w:pPr>
      <w:r>
        <w:rPr>
          <w:rFonts w:ascii="New Century Schoolbook" w:hAnsi="New Century Schoolbook" w:eastAsia="New Century Schoolbook" w:cs="New Century Schoolbook"/>
          <w:b w:val="0"/>
          <w:i w:val="0"/>
          <w:color w:val="000000"/>
          <w:sz w:val="23"/>
        </w:rPr>
        <w:t>Our conclusion does not deny Tigard authority to require mitigation. The city may keep structures out of the floodplain, enforce ordinary site and drainage standards, require proportionate improvements, consider lawful alternatives proposed through its variance process, or purchase the easements it wishes to add to the public network. What it may not do on this record is obtain these permanent public interests without the individualized showing that the Fifth Amendment requires.</w:t>
      </w:r>
    </w:p>
    <w:p>
      <w:pPr>
        <w:sectPr>
          <w:headerReference w:type="first" r:id="rId45"/>
          <w:headerReference w:type="default" r:id="rId46"/>
          <w:headerReference w:type="even" r:id="rId47"/>
          <w:footerReference w:type="first" r:id="rId48"/>
          <w:footerReference w:type="default" r:id="rId49"/>
          <w:footerReference w:type="even" r:id="rId50"/>
          <w:pgSz w:w="8640" w:h="12960"/>
          <w:pgMar w:top="1368" w:right="1440" w:bottom="1181" w:left="1440" w:header="446" w:footer="403" w:gutter="0"/>
          <w:cols w:space="720"/>
          <w:titlePg/>
          <w:docGrid w:linePitch="360"/>
          <w:pgNumType w:start="392"/>
        </w:sectPr>
      </w:pPr>
    </w:p>
    <w:p>
      <w:pPr>
        <w:pStyle w:val="SectionHeading"/>
      </w:pPr>
      <w:r>
        <w:rPr>
          <w:rFonts w:ascii="New Century Schoolbook" w:hAnsi="New Century Schoolbook" w:eastAsia="New Century Schoolbook" w:cs="New Century Schoolbook"/>
          <w:b w:val="0"/>
          <w:i w:val="0"/>
          <w:color w:val="000000"/>
          <w:sz w:val="23"/>
        </w:rPr>
        <w:t>IV</w:t>
      </w:r>
    </w:p>
    <w:p>
      <w:pPr>
        <w:pStyle w:val="OpinionBody"/>
        <w:keepNext w:val="0"/>
        <w:keepLines w:val="0"/>
      </w:pPr>
      <w:r>
        <w:rPr>
          <w:rFonts w:ascii="New Century Schoolbook" w:hAnsi="New Century Schoolbook" w:eastAsia="New Century Schoolbook" w:cs="New Century Schoolbook"/>
          <w:b w:val="0"/>
          <w:i w:val="0"/>
          <w:color w:val="000000"/>
          <w:sz w:val="23"/>
        </w:rPr>
        <w:t>The rule is confined to the question presented. We consider adjudicative permit conditions that require an owner to convey permanent interests in land for public use. We do not decide the treatment of taxes, user fees, or generally applicable monetary assessments. We do not disturb ordinary zoning rules that limit use without demanding a conveyance. And we do not hold that local government must prove proportionality with mathematical certainty. The required judgment is practical, but it must be made.</w:t>
      </w:r>
    </w:p>
    <w:p>
      <w:pPr>
        <w:pStyle w:val="OpinionBody"/>
        <w:keepNext w:val="0"/>
        <w:keepLines w:val="0"/>
      </w:pPr>
      <w:r>
        <w:rPr>
          <w:rFonts w:ascii="New Century Schoolbook" w:hAnsi="New Century Schoolbook" w:eastAsia="New Century Schoolbook" w:cs="New Century Schoolbook"/>
          <w:b w:val="0"/>
          <w:i w:val="0"/>
          <w:color w:val="000000"/>
          <w:sz w:val="23"/>
        </w:rPr>
        <w:t>Tigard may pursue flood control, traffic reduction, and connected public greenways. A strong public interest does not answer who must furnish the property. The city must connect a demanded dedication, in nature and extent, to the effects of the development from which it is exacted. Because the findings here do not justify either public easement to that degree, the conditions cannot stand without compensation.</w:t>
      </w:r>
    </w:p>
    <w:p>
      <w:pPr>
        <w:pStyle w:val="OpinionBody"/>
        <w:keepNext w:val="0"/>
        <w:keepLines/>
        <w:spacing w:before="242"/>
      </w:pPr>
      <w:r>
        <w:rPr>
          <w:rFonts w:ascii="New Century Schoolbook" w:hAnsi="New Century Schoolbook" w:eastAsia="New Century Schoolbook" w:cs="New Century Schoolbook"/>
          <w:b w:val="0"/>
          <w:i w:val="0"/>
          <w:color w:val="000000"/>
          <w:sz w:val="23"/>
        </w:rPr>
        <w:t>The judgment of the Supreme Court of Oregon is reversed, and the case is remanded for further proceedings not inconsistent with this opinion.</w:t>
      </w:r>
    </w:p>
    <w:p>
      <w:pPr>
        <w:pStyle w:val="OpinionBody"/>
        <w:keepNext w:val="0"/>
        <w:keepLines/>
        <w:spacing w:before="120"/>
        <w:ind w:firstLine="0"/>
        <w:jc w:val="center"/>
      </w:pPr>
      <w:r>
        <w:rPr>
          <w:rFonts w:ascii="New Century Schoolbook" w:hAnsi="New Century Schoolbook" w:eastAsia="New Century Schoolbook" w:cs="New Century Schoolbook"/>
          <w:b w:val="0"/>
          <w:i/>
          <w:color w:val="000000"/>
          <w:sz w:val="23"/>
        </w:rPr>
        <w:t>It is so ordered.</w:t>
      </w:r>
    </w:p>
    <w:sectPr w:rsidR="00FC693F" w:rsidRPr="0006063C" w:rsidSect="00034616">
      <w:headerReference w:type="first" r:id="rId51"/>
      <w:headerReference w:type="default" r:id="rId52"/>
      <w:headerReference w:type="even" r:id="rId53"/>
      <w:footerReference w:type="first" r:id="rId54"/>
      <w:footerReference w:type="default" r:id="rId55"/>
      <w:footerReference w:type="even" r:id="rId56"/>
      <w:pgSz w:w="8640" w:h="12960"/>
      <w:pgMar w:top="1368" w:right="1440" w:bottom="1181" w:left="1440" w:header="446" w:footer="403" w:gutter="0"/>
      <w:cols w:space="720"/>
      <w:titlePg/>
      <w:docGrid w:linePitch="360"/>
      <w:pgNumType w:start="3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smallCaps w:val="1"/>
      </w:rPr>
      <w:t>OCTOBER TERM, 1993</w:t>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p>
  <w:p>
    <w:pPr>
      <w:spacing w:before="0" w:after="0" w:lineRule="exact" w:line="184"/>
      <w:jc w:val="center"/>
    </w:pPr>
    <w:r>
      <w:rPr>
        <w:rFonts w:ascii="New Century Schoolbook" w:hAnsi="New Century Schoolbook" w:eastAsia="New Century Schoolbook" w:cs="New Century Schoolbook"/>
        <w:b w:val="0"/>
        <w:i w:val="0"/>
        <w:color w:val="000000"/>
        <w:sz w:val="16"/>
      </w:rPr>
      <w:t>Syllabus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t>DOLAN v. CITY OF TIGARD</w:t>
    </w:r>
    <w:r>
      <w:rPr>
        <w:rFonts w:ascii="New Century Schoolbook" w:hAnsi="New Century Schoolbook" w:eastAsia="New Century Schoolbook" w:cs="New Century Schoolbook"/>
        <w:b w:val="0"/>
        <w:i w:val="0"/>
        <w:color w:val="000000"/>
        <w:sz w:val="16"/>
      </w:rPr>
      <w:tab/>
    </w:r>
  </w:p>
  <w:p>
    <w:pPr>
      <w:spacing w:before="0" w:after="0" w:lineRule="exact" w:line="184"/>
      <w:jc w:val="center"/>
    </w:pPr>
    <w:r>
      <w:rPr>
        <w:rFonts w:ascii="New Century Schoolbook" w:hAnsi="New Century Schoolbook" w:eastAsia="New Century Schoolbook" w:cs="New Century Schoolbook"/>
        <w:b w:val="0"/>
        <w:i w:val="0"/>
        <w:color w:val="000000"/>
        <w:sz w:val="16"/>
      </w:rPr>
      <w:t>Syllabus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color w:val="000000"/>
        <w:sz w:val="16"/>
      </w:rPr>
      <w:t>Cite as: 512 U. S. 374 (1994)</w:t>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p>
  <w:p>
    <w:pPr>
      <w:spacing w:before="0" w:after="0" w:lineRule="exact" w:line="184"/>
      <w:jc w:val="center"/>
    </w:pPr>
    <w:r>
      <w:rPr>
        <w:rFonts w:ascii="New Century Schoolbook" w:hAnsi="New Century Schoolbook" w:eastAsia="New Century Schoolbook" w:cs="New Century Schoolbook"/>
        <w:b w:val="0"/>
        <w:i w:val="0"/>
        <w:color w:val="000000"/>
        <w:sz w:val="16"/>
      </w:rPr>
      <w:t>Syllabus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t>DOLAN v. CITY OF TIGARD</w:t>
    </w:r>
    <w:r>
      <w:rPr>
        <w:rFonts w:ascii="New Century Schoolbook" w:hAnsi="New Century Schoolbook" w:eastAsia="New Century Schoolbook" w:cs="New Century Schoolbook"/>
        <w:b w:val="0"/>
        <w:i w:val="0"/>
        <w:color w:val="000000"/>
        <w:sz w:val="16"/>
      </w:rPr>
      <w:tab/>
    </w:r>
  </w:p>
  <w:p>
    <w:pPr>
      <w:spacing w:before="0" w:after="0" w:lineRule="exact" w:line="184"/>
      <w:jc w:val="center"/>
    </w:pPr>
    <w:r>
      <w:rPr>
        <w:rFonts w:ascii="New Century Schoolbook" w:hAnsi="New Century Schoolbook" w:eastAsia="New Century Schoolbook" w:cs="New Century Schoolbook"/>
        <w:b w:val="0"/>
        <w:i w:val="0"/>
        <w:color w:val="000000"/>
        <w:sz w:val="16"/>
      </w:rPr>
      <w:t>Counsel</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t>DOLAN v. CITY OF TIGARD</w:t>
    </w:r>
    <w:r>
      <w:rPr>
        <w:rFonts w:ascii="New Century Schoolbook" w:hAnsi="New Century Schoolbook" w:eastAsia="New Century Schoolbook" w:cs="New Century Schoolbook"/>
        <w:b w:val="0"/>
        <w:i w:val="0"/>
        <w:color w:val="000000"/>
        <w:sz w:val="16"/>
      </w:rPr>
      <w:tab/>
    </w:r>
  </w:p>
  <w:p>
    <w:pPr>
      <w:spacing w:before="0" w:after="0" w:lineRule="exact" w:line="184"/>
      <w:jc w:val="center"/>
    </w:pPr>
    <w:r>
      <w:rPr>
        <w:rFonts w:ascii="New Century Schoolbook" w:hAnsi="New Century Schoolbook" w:eastAsia="New Century Schoolbook" w:cs="New Century Schoolbook"/>
        <w:b w:val="0"/>
        <w:i w:val="0"/>
        <w:color w:val="000000"/>
        <w:sz w:val="16"/>
      </w:rPr>
      <w:t>Counsel</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color w:val="000000"/>
        <w:sz w:val="16"/>
      </w:rPr>
      <w:t>Cite as: 512 U. S. 374 (1994)</w:t>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p>
  <w:p>
    <w:pPr>
      <w:spacing w:before="0" w:after="0" w:lineRule="exact" w:line="184"/>
      <w:jc w:val="center"/>
    </w:pPr>
    <w:r>
      <w:rPr>
        <w:rFonts w:ascii="New Century Schoolbook" w:hAnsi="New Century Schoolbook" w:eastAsia="New Century Schoolbook" w:cs="New Century Schoolbook"/>
        <w:b w:val="0"/>
        <w:i w:val="0"/>
        <w:color w:val="000000"/>
        <w:sz w:val="16"/>
      </w:rPr>
      <w:t>Counsel</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color w:val="000000"/>
        <w:sz w:val="16"/>
      </w:rPr>
      <w:t>Cite as: 512 U. S. 374 (1994)</w:t>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p>
  <w:p>
    <w:pPr>
      <w:spacing w:before="0" w:after="0" w:lineRule="exact" w:line="184"/>
      <w:jc w:val="center"/>
    </w:pPr>
    <w:r>
      <w:rPr>
        <w:rFonts w:ascii="New Century Schoolbook" w:hAnsi="New Century Schoolbook" w:eastAsia="New Century Schoolbook" w:cs="New Century Schoolbook"/>
        <w:b w:val="0"/>
        <w:i w:val="0"/>
        <w:color w:val="000000"/>
        <w:sz w:val="16"/>
      </w:rPr>
      <w:t>Opinion of the Court</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t>DOLAN v. CITY OF TIGARD</w:t>
    </w:r>
    <w:r>
      <w:rPr>
        <w:rFonts w:ascii="New Century Schoolbook" w:hAnsi="New Century Schoolbook" w:eastAsia="New Century Schoolbook" w:cs="New Century Schoolbook"/>
        <w:b w:val="0"/>
        <w:i w:val="0"/>
        <w:color w:val="000000"/>
        <w:sz w:val="16"/>
      </w:rPr>
      <w:tab/>
    </w:r>
  </w:p>
  <w:p>
    <w:pPr>
      <w:spacing w:before="0" w:after="0" w:lineRule="exact" w:line="184"/>
      <w:jc w:val="center"/>
    </w:pPr>
    <w:r>
      <w:rPr>
        <w:rFonts w:ascii="New Century Schoolbook" w:hAnsi="New Century Schoolbook" w:eastAsia="New Century Schoolbook" w:cs="New Century Schoolbook"/>
        <w:b w:val="0"/>
        <w:i w:val="0"/>
        <w:color w:val="000000"/>
        <w:sz w:val="16"/>
      </w:rPr>
      <w:t>Opinion of the Court</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color w:val="000000"/>
        <w:sz w:val="16"/>
      </w:rPr>
      <w:t>Cite as: 512 U. S. 374 (1994)</w:t>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p>
  <w:p>
    <w:pPr>
      <w:spacing w:before="0" w:after="0" w:lineRule="exact" w:line="184"/>
      <w:jc w:val="center"/>
    </w:pPr>
    <w:r>
      <w:rPr>
        <w:rFonts w:ascii="New Century Schoolbook" w:hAnsi="New Century Schoolbook" w:eastAsia="New Century Schoolbook" w:cs="New Century Schoolbook"/>
        <w:b w:val="0"/>
        <w:i w:val="0"/>
        <w:color w:val="000000"/>
        <w:sz w:val="16"/>
      </w:rPr>
      <w:t>Opinion of the Court</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color w:val="000000"/>
        <w:sz w:val="16"/>
      </w:rPr>
      <w:t>Cite as: 512 U. S. 374 (1994)</w:t>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p>
  <w:p>
    <w:pPr>
      <w:spacing w:before="0" w:after="0" w:lineRule="exact" w:line="184"/>
      <w:jc w:val="center"/>
    </w:pPr>
    <w:r>
      <w:rPr>
        <w:rFonts w:ascii="New Century Schoolbook" w:hAnsi="New Century Schoolbook" w:eastAsia="New Century Schoolbook" w:cs="New Century Schoolbook"/>
        <w:b w:val="0"/>
        <w:i w:val="0"/>
        <w:color w:val="000000"/>
        <w:sz w:val="16"/>
      </w:rPr>
      <w:t>Opinion of the Court</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t>DOLAN v. CITY OF TIGARD</w:t>
    </w:r>
    <w:r>
      <w:rPr>
        <w:rFonts w:ascii="New Century Schoolbook" w:hAnsi="New Century Schoolbook" w:eastAsia="New Century Schoolbook" w:cs="New Century Schoolbook"/>
        <w:b w:val="0"/>
        <w:i w:val="0"/>
        <w:color w:val="000000"/>
        <w:sz w:val="16"/>
      </w:rPr>
      <w:tab/>
    </w:r>
  </w:p>
  <w:p>
    <w:pPr>
      <w:spacing w:before="0" w:after="0" w:lineRule="exact" w:line="184"/>
      <w:jc w:val="center"/>
    </w:pPr>
    <w:r>
      <w:rPr>
        <w:rFonts w:ascii="New Century Schoolbook" w:hAnsi="New Century Schoolbook" w:eastAsia="New Century Schoolbook" w:cs="New Century Schoolbook"/>
        <w:b w:val="0"/>
        <w:i w:val="0"/>
        <w:color w:val="000000"/>
        <w:sz w:val="16"/>
      </w:rPr>
      <w:t>Opinion of the Court</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color w:val="000000"/>
        <w:sz w:val="16"/>
      </w:rPr>
      <w:t>Cite as: 512 U. S. 374 (1994)</w:t>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p>
  <w:p>
    <w:pPr>
      <w:spacing w:before="0" w:after="0" w:lineRule="exact" w:line="184"/>
      <w:jc w:val="center"/>
    </w:pPr>
    <w:r>
      <w:rPr>
        <w:rFonts w:ascii="New Century Schoolbook" w:hAnsi="New Century Schoolbook" w:eastAsia="New Century Schoolbook" w:cs="New Century Schoolbook"/>
        <w:b w:val="0"/>
        <w:i w:val="0"/>
        <w:color w:val="000000"/>
        <w:sz w:val="16"/>
      </w:rPr>
      <w:t>Opinion of the Court</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t>DOLAN v. CITY OF TIGARD</w:t>
    </w:r>
    <w:r>
      <w:rPr>
        <w:rFonts w:ascii="New Century Schoolbook" w:hAnsi="New Century Schoolbook" w:eastAsia="New Century Schoolbook" w:cs="New Century Schoolbook"/>
        <w:b w:val="0"/>
        <w:i w:val="0"/>
        <w:color w:val="000000"/>
        <w:sz w:val="16"/>
      </w:rPr>
      <w:tab/>
    </w:r>
  </w:p>
  <w:p>
    <w:pPr>
      <w:spacing w:before="0" w:after="0" w:lineRule="exact" w:line="184"/>
      <w:jc w:val="center"/>
    </w:pPr>
    <w:r>
      <w:rPr>
        <w:rFonts w:ascii="New Century Schoolbook" w:hAnsi="New Century Schoolbook" w:eastAsia="New Century Schoolbook" w:cs="New Century Schoolbook"/>
        <w:b w:val="0"/>
        <w:i w:val="0"/>
        <w:color w:val="000000"/>
        <w:sz w:val="16"/>
      </w:rPr>
      <w:t>Opinion of the Court</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t>DOLAN v. CITY OF TIGARD</w:t>
    </w:r>
    <w:r>
      <w:rPr>
        <w:rFonts w:ascii="New Century Schoolbook" w:hAnsi="New Century Schoolbook" w:eastAsia="New Century Schoolbook" w:cs="New Century Schoolbook"/>
        <w:b w:val="0"/>
        <w:i w:val="0"/>
        <w:color w:val="000000"/>
        <w:sz w:val="16"/>
      </w:rPr>
      <w:tab/>
    </w:r>
  </w:p>
  <w:p>
    <w:pPr>
      <w:spacing w:before="0" w:after="0" w:lineRule="exact" w:line="184"/>
      <w:jc w:val="center"/>
    </w:pPr>
    <w:r>
      <w:rPr>
        <w:rFonts w:ascii="New Century Schoolbook" w:hAnsi="New Century Schoolbook" w:eastAsia="New Century Schoolbook" w:cs="New Century Schoolbook"/>
        <w:b w:val="0"/>
        <w:i w:val="0"/>
        <w:color w:val="000000"/>
        <w:sz w:val="16"/>
      </w:rPr>
      <w:t>Opinion of the Court</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color w:val="000000"/>
        <w:sz w:val="16"/>
      </w:rPr>
      <w:t>Cite as: 512 U. S. 374 (1994)</w:t>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p>
  <w:p>
    <w:pPr>
      <w:spacing w:before="0" w:after="0" w:lineRule="exact" w:line="184"/>
      <w:jc w:val="center"/>
    </w:pPr>
    <w:r>
      <w:rPr>
        <w:rFonts w:ascii="New Century Schoolbook" w:hAnsi="New Century Schoolbook" w:eastAsia="New Century Schoolbook" w:cs="New Century Schoolbook"/>
        <w:b w:val="0"/>
        <w:i w:val="0"/>
        <w:color w:val="000000"/>
        <w:sz w:val="16"/>
      </w:rPr>
      <w:t>Opinion of the Court</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t>DOLAN v. CITY OF TIGARD</w:t>
    </w:r>
    <w:r>
      <w:rPr>
        <w:rFonts w:ascii="New Century Schoolbook" w:hAnsi="New Century Schoolbook" w:eastAsia="New Century Schoolbook" w:cs="New Century Schoolbook"/>
        <w:b w:val="0"/>
        <w:i w:val="0"/>
        <w:color w:val="000000"/>
        <w:sz w:val="16"/>
      </w:rPr>
      <w:tab/>
    </w:r>
  </w:p>
  <w:p>
    <w:pPr>
      <w:spacing w:before="0" w:after="0" w:lineRule="exact" w:line="184"/>
      <w:jc w:val="center"/>
    </w:pPr>
    <w:r>
      <w:rPr>
        <w:rFonts w:ascii="New Century Schoolbook" w:hAnsi="New Century Schoolbook" w:eastAsia="New Century Schoolbook" w:cs="New Century Schoolbook"/>
        <w:b w:val="0"/>
        <w:i w:val="0"/>
        <w:color w:val="000000"/>
        <w:sz w:val="16"/>
      </w:rPr>
      <w:t>Opinion of the Court</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t>DOLAN v. CITY OF TIGARD</w:t>
    </w:r>
    <w:r>
      <w:rPr>
        <w:rFonts w:ascii="New Century Schoolbook" w:hAnsi="New Century Schoolbook" w:eastAsia="New Century Schoolbook" w:cs="New Century Schoolbook"/>
        <w:b w:val="0"/>
        <w:i w:val="0"/>
        <w:color w:val="000000"/>
        <w:sz w:val="16"/>
      </w:rPr>
      <w:tab/>
    </w:r>
  </w:p>
  <w:p>
    <w:pPr>
      <w:spacing w:before="0" w:after="0" w:lineRule="exact" w:line="184"/>
      <w:jc w:val="center"/>
    </w:pPr>
    <w:r>
      <w:rPr>
        <w:rFonts w:ascii="New Century Schoolbook" w:hAnsi="New Century Schoolbook" w:eastAsia="New Century Schoolbook" w:cs="New Century Schoolbook"/>
        <w:b w:val="0"/>
        <w:i w:val="0"/>
        <w:color w:val="000000"/>
        <w:sz w:val="16"/>
      </w:rPr>
      <w:t>Opinion of the Court</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color w:val="000000"/>
        <w:sz w:val="16"/>
      </w:rPr>
      <w:t>Cite as: 512 U. S. 374 (1994)</w:t>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p>
  <w:p>
    <w:pPr>
      <w:spacing w:before="0" w:after="0" w:lineRule="exact" w:line="184"/>
      <w:jc w:val="center"/>
    </w:pPr>
    <w:r>
      <w:rPr>
        <w:rFonts w:ascii="New Century Schoolbook" w:hAnsi="New Century Schoolbook" w:eastAsia="New Century Schoolbook" w:cs="New Century Schoolbook"/>
        <w:b w:val="0"/>
        <w:i w:val="0"/>
        <w:color w:val="000000"/>
        <w:sz w:val="16"/>
      </w:rPr>
      <w:t>Opinion of the Court</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t>DOLAN v. CITY OF TIGARD</w:t>
    </w:r>
    <w:r>
      <w:rPr>
        <w:rFonts w:ascii="New Century Schoolbook" w:hAnsi="New Century Schoolbook" w:eastAsia="New Century Schoolbook" w:cs="New Century Schoolbook"/>
        <w:b w:val="0"/>
        <w:i w:val="0"/>
        <w:color w:val="000000"/>
        <w:sz w:val="16"/>
      </w:rPr>
      <w:tab/>
    </w:r>
  </w:p>
  <w:p>
    <w:pPr>
      <w:spacing w:before="0" w:after="0" w:lineRule="exact" w:line="184"/>
      <w:jc w:val="center"/>
    </w:pPr>
    <w:r>
      <w:rPr>
        <w:rFonts w:ascii="New Century Schoolbook" w:hAnsi="New Century Schoolbook" w:eastAsia="New Century Schoolbook" w:cs="New Century Schoolbook"/>
        <w:b w:val="0"/>
        <w:i w:val="0"/>
        <w:color w:val="000000"/>
        <w:sz w:val="16"/>
      </w:rPr>
      <w:t>Opinion of the Court</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t>DOLAN v. CITY OF TIGARD</w:t>
    </w:r>
    <w:r>
      <w:rPr>
        <w:rFonts w:ascii="New Century Schoolbook" w:hAnsi="New Century Schoolbook" w:eastAsia="New Century Schoolbook" w:cs="New Century Schoolbook"/>
        <w:b w:val="0"/>
        <w:i w:val="0"/>
        <w:color w:val="000000"/>
        <w:sz w:val="16"/>
      </w:rPr>
      <w:tab/>
    </w:r>
  </w:p>
  <w:p>
    <w:pPr>
      <w:spacing w:before="0" w:after="0" w:lineRule="exact" w:line="184"/>
      <w:jc w:val="center"/>
    </w:pPr>
    <w:r>
      <w:rPr>
        <w:rFonts w:ascii="New Century Schoolbook" w:hAnsi="New Century Schoolbook" w:eastAsia="New Century Schoolbook" w:cs="New Century Schoolbook"/>
        <w:b w:val="0"/>
        <w:i w:val="0"/>
        <w:color w:val="000000"/>
        <w:sz w:val="16"/>
      </w:rPr>
      <w:t>Opinion of the Court</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color w:val="000000"/>
        <w:sz w:val="16"/>
      </w:rPr>
      <w:t>Cite as: 512 U. S. 374 (1994)</w:t>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p>
  <w:p>
    <w:pPr>
      <w:spacing w:before="0" w:after="0" w:lineRule="exact" w:line="184"/>
      <w:jc w:val="center"/>
    </w:pPr>
    <w:r>
      <w:rPr>
        <w:rFonts w:ascii="New Century Schoolbook" w:hAnsi="New Century Schoolbook" w:eastAsia="New Century Schoolbook" w:cs="New Century Schoolbook"/>
        <w:b w:val="0"/>
        <w:i w:val="0"/>
        <w:color w:val="000000"/>
        <w:sz w:val="16"/>
      </w:rPr>
      <w:t>Opinion of the Court</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t>DOLAN v. CITY OF TIGARD</w:t>
    </w:r>
    <w:r>
      <w:rPr>
        <w:rFonts w:ascii="New Century Schoolbook" w:hAnsi="New Century Schoolbook" w:eastAsia="New Century Schoolbook" w:cs="New Century Schoolbook"/>
        <w:b w:val="0"/>
        <w:i w:val="0"/>
        <w:color w:val="000000"/>
        <w:sz w:val="16"/>
      </w:rPr>
      <w:tab/>
    </w:r>
  </w:p>
  <w:p>
    <w:pPr>
      <w:spacing w:before="0" w:after="0" w:lineRule="exact" w:line="184"/>
      <w:jc w:val="center"/>
    </w:pPr>
    <w:r>
      <w:rPr>
        <w:rFonts w:ascii="New Century Schoolbook" w:hAnsi="New Century Schoolbook" w:eastAsia="New Century Schoolbook" w:cs="New Century Schoolbook"/>
        <w:b w:val="0"/>
        <w:i w:val="0"/>
        <w:color w:val="000000"/>
        <w:sz w:val="16"/>
      </w:rPr>
      <w:t>Opinion of the Court</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t>DOLAN v. CITY OF TIGARD</w:t>
    </w:r>
    <w:r>
      <w:rPr>
        <w:rFonts w:ascii="New Century Schoolbook" w:hAnsi="New Century Schoolbook" w:eastAsia="New Century Schoolbook" w:cs="New Century Schoolbook"/>
        <w:b w:val="0"/>
        <w:i w:val="0"/>
        <w:color w:val="000000"/>
        <w:sz w:val="16"/>
      </w:rPr>
      <w:tab/>
    </w:r>
  </w:p>
  <w:p>
    <w:pPr>
      <w:spacing w:before="0" w:after="0" w:lineRule="exact" w:line="184"/>
      <w:jc w:val="center"/>
    </w:pPr>
    <w:r>
      <w:rPr>
        <w:rFonts w:ascii="New Century Schoolbook" w:hAnsi="New Century Schoolbook" w:eastAsia="New Century Schoolbook" w:cs="New Century Schoolbook"/>
        <w:b w:val="0"/>
        <w:i w:val="0"/>
        <w:color w:val="000000"/>
        <w:sz w:val="16"/>
      </w:rPr>
      <w:t>Opinion of the Court</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color w:val="000000"/>
        <w:sz w:val="16"/>
      </w:rPr>
      <w:t>Cite as: 512 U. S. 374 (1994)</w:t>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p>
  <w:p>
    <w:pPr>
      <w:spacing w:before="0" w:after="0" w:lineRule="exact" w:line="184"/>
      <w:jc w:val="center"/>
    </w:pPr>
    <w:r>
      <w:rPr>
        <w:rFonts w:ascii="New Century Schoolbook" w:hAnsi="New Century Schoolbook" w:eastAsia="New Century Schoolbook" w:cs="New Century Schoolbook"/>
        <w:b w:val="0"/>
        <w:i w:val="0"/>
        <w:color w:val="000000"/>
        <w:sz w:val="16"/>
      </w:rPr>
      <w:t>Opinion of the Court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exact" w:line="300"/>
      <w:ind w:firstLine="230"/>
      <w:jc w:val="both"/>
    </w:pPr>
    <w:rPr>
      <w:rFonts w:ascii="New Century Schoolbook" w:hAnsi="New Century Schoolbook"/>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0" w:lineRule="exact" w:before="0" w:after="0"/>
      <w:ind w:firstLine="0"/>
      <w:jc w:val="center"/>
    </w:pPr>
    <w:rPr>
      <w:rFonts w:ascii="New Century Schoolbook" w:hAnsi="New Century Schoolbook"/>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yllabusBody">
    <w:name w:val="Syllabus Body"/>
    <w:basedOn w:val="Normal"/>
    <w:pPr>
      <w:spacing w:before="0" w:after="0" w:lineRule="exact" w:line="216"/>
      <w:ind w:firstLine="186"/>
      <w:jc w:val="both"/>
    </w:pPr>
    <w:rPr>
      <w:rFonts w:ascii="New Century Schoolbook" w:hAnsi="New Century Schoolbook"/>
      <w:sz w:val="18"/>
    </w:rPr>
  </w:style>
  <w:style w:type="paragraph" w:customStyle="1" w:styleId="SyllabusHolding">
    <w:name w:val="Syllabus Holding"/>
    <w:basedOn w:val="Normal"/>
    <w:pPr>
      <w:spacing w:before="0" w:after="0" w:lineRule="exact" w:line="216"/>
      <w:ind w:firstLine="0"/>
      <w:jc w:val="both"/>
    </w:pPr>
    <w:rPr>
      <w:rFonts w:ascii="New Century Schoolbook" w:hAnsi="New Century Schoolbook"/>
      <w:sz w:val="18"/>
    </w:rPr>
  </w:style>
  <w:style w:type="paragraph" w:customStyle="1" w:styleId="SyllabusSmall">
    <w:name w:val="Syllabus Small"/>
    <w:basedOn w:val="Normal"/>
    <w:pPr>
      <w:spacing w:before="0" w:after="0" w:lineRule="exact" w:line="168"/>
      <w:ind w:firstLine="0"/>
      <w:jc w:val="both"/>
    </w:pPr>
    <w:rPr>
      <w:rFonts w:ascii="New Century Schoolbook" w:hAnsi="New Century Schoolbook"/>
      <w:sz w:val="14"/>
    </w:rPr>
  </w:style>
  <w:style w:type="paragraph" w:customStyle="1" w:styleId="OpinionBody">
    <w:name w:val="Opinion Body"/>
    <w:basedOn w:val="Normal"/>
    <w:pPr>
      <w:spacing w:before="0" w:after="0" w:lineRule="exact" w:line="300"/>
      <w:ind w:firstLine="230"/>
      <w:jc w:val="both"/>
    </w:pPr>
    <w:rPr>
      <w:rFonts w:ascii="New Century Schoolbook" w:hAnsi="New Century Schoolbook"/>
      <w:sz w:val="23"/>
    </w:rPr>
  </w:style>
  <w:style w:type="paragraph" w:customStyle="1" w:styleId="CourtName">
    <w:name w:val="Court Name"/>
    <w:basedOn w:val="Normal"/>
    <w:pPr>
      <w:spacing w:before="0" w:after="0" w:lineRule="exact" w:line="290"/>
      <w:ind w:firstLine="0"/>
      <w:jc w:val="center"/>
    </w:pPr>
    <w:rPr>
      <w:rFonts w:ascii="New Century Schoolbook" w:hAnsi="New Century Schoolbook"/>
      <w:sz w:val="25"/>
    </w:rPr>
  </w:style>
  <w:style w:type="paragraph" w:customStyle="1" w:styleId="Jurisdiction">
    <w:name w:val="Jurisdiction"/>
    <w:basedOn w:val="Normal"/>
    <w:pPr>
      <w:spacing w:before="0" w:after="0" w:lineRule="exact" w:line="202"/>
      <w:ind w:firstLine="0"/>
      <w:jc w:val="center"/>
    </w:pPr>
    <w:rPr>
      <w:rFonts w:ascii="New Century Schoolbook" w:hAnsi="New Century Schoolbook"/>
      <w:sz w:val="17"/>
    </w:rPr>
  </w:style>
  <w:style w:type="paragraph" w:customStyle="1" w:styleId="SectionHeading">
    <w:name w:val="Section Heading"/>
    <w:basedOn w:val="Normal"/>
    <w:pPr>
      <w:keepNext/>
      <w:spacing w:before="300" w:after="300" w:lineRule="exact" w:line="300"/>
      <w:ind w:firstLine="0"/>
      <w:jc w:val="center"/>
    </w:pPr>
    <w:rPr>
      <w:rFonts w:ascii="New Century Schoolbook" w:hAnsi="New Century Schoolbook"/>
      <w:sz w:val="23"/>
    </w:rPr>
  </w:style>
  <w:style w:type="paragraph" w:customStyle="1" w:styleId="DeliveryLine">
    <w:name w:val="Delivery Line"/>
    <w:basedOn w:val="Normal"/>
    <w:pPr>
      <w:spacing w:before="0" w:after="0" w:lineRule="exact" w:line="300"/>
      <w:ind w:firstLine="0"/>
      <w:jc w:val="both"/>
    </w:pPr>
    <w:rPr>
      <w:rFonts w:ascii="New Century Schoolbook" w:hAnsi="New Century Schoolbook"/>
      <w:sz w:val="23"/>
    </w:rPr>
  </w:style>
  <w:style w:type="paragraph" w:customStyle="1" w:styleId="FootnoteText">
    <w:name w:val="Footnote Text"/>
    <w:basedOn w:val="Normal"/>
    <w:pPr>
      <w:widowControl w:val="0"/>
      <w:spacing w:before="0" w:after="0" w:lineRule="exact" w:line="216"/>
      <w:ind w:firstLine="0"/>
      <w:jc w:val="both"/>
    </w:pPr>
    <w:rPr>
      <w:rFonts w:ascii="New Century Schoolbook" w:hAnsi="New Century Schoolbook"/>
      <w:sz w:val="18"/>
    </w:rPr>
  </w:style>
  <w:style w:type="character" w:customStyle="1" w:styleId="FootnoteReference">
    <w:name w:val="Footnote Reference"/>
    <w:rPr>
      <w:rFonts w:ascii="New Century Schoolbook" w:hAnsi="New Century Schoolbook"/>
      <w:sz w:val="14"/>
      <w:vertAlign w:val="superscript"/>
    </w:rPr>
  </w:style>
  <w:style w:type="paragraph" w:customStyle="1" w:styleId="CounselBody">
    <w:name w:val="Counsel Body"/>
    <w:basedOn w:val="Normal"/>
    <w:pPr>
      <w:spacing w:lineRule="exact" w:line="220" w:before="0" w:after="0"/>
      <w:ind w:firstLine="188"/>
      <w:jc w:val="both"/>
    </w:pPr>
    <w:rPr>
      <w:rFonts w:ascii="New Century Schoolbook" w:hAnsi="New Century Schoolbook"/>
      <w:sz w:val="18"/>
    </w:rPr>
  </w:style>
  <w:style w:type="paragraph" w:customStyle="1" w:styleId="CounselSmall">
    <w:name w:val="Counsel Small"/>
    <w:basedOn w:val="Normal"/>
    <w:pPr>
      <w:spacing w:lineRule="exact" w:line="176" w:before="0" w:after="0"/>
      <w:ind w:firstLine="158"/>
      <w:jc w:val="both"/>
    </w:pPr>
    <w:rPr>
      <w:rFonts w:ascii="New Century Schoolbook" w:hAnsi="New Century Schoolbook"/>
      <w:sz w:val="15"/>
    </w:rPr>
  </w:style>
  <w:style w:type="paragraph" w:customStyle="1" w:styleId="BlockQuote">
    <w:name w:val="Block Quote"/>
    <w:basedOn w:val="Normal"/>
    <w:pPr>
      <w:spacing w:lineRule="exact" w:line="260" w:before="0" w:after="0"/>
      <w:ind w:firstLine="0" w:left="317" w:right="216"/>
      <w:jc w:val="both"/>
    </w:pPr>
    <w:rPr>
      <w:rFonts w:ascii="New Century Schoolbook" w:hAnsi="New Century Schoolbook"/>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header" Target="header11.xml"/><Relationship Id="rId29" Type="http://schemas.openxmlformats.org/officeDocument/2006/relationships/header" Target="header12.xml"/><Relationship Id="rId30" Type="http://schemas.openxmlformats.org/officeDocument/2006/relationships/footer" Target="footer10.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header" Target="header14.xml"/><Relationship Id="rId35" Type="http://schemas.openxmlformats.org/officeDocument/2006/relationships/header" Target="header15.xml"/><Relationship Id="rId36" Type="http://schemas.openxmlformats.org/officeDocument/2006/relationships/footer" Target="footer13.xml"/><Relationship Id="rId37" Type="http://schemas.openxmlformats.org/officeDocument/2006/relationships/footer" Target="footer14.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header" Target="header17.xml"/><Relationship Id="rId41" Type="http://schemas.openxmlformats.org/officeDocument/2006/relationships/header" Target="header18.xml"/><Relationship Id="rId42" Type="http://schemas.openxmlformats.org/officeDocument/2006/relationships/footer" Target="footer16.xml"/><Relationship Id="rId43" Type="http://schemas.openxmlformats.org/officeDocument/2006/relationships/footer" Target="footer17.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header" Target="header20.xml"/><Relationship Id="rId47" Type="http://schemas.openxmlformats.org/officeDocument/2006/relationships/header" Target="header21.xml"/><Relationship Id="rId48" Type="http://schemas.openxmlformats.org/officeDocument/2006/relationships/footer" Target="footer19.xml"/><Relationship Id="rId49" Type="http://schemas.openxmlformats.org/officeDocument/2006/relationships/footer" Target="footer20.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header" Target="header23.xml"/><Relationship Id="rId53" Type="http://schemas.openxmlformats.org/officeDocument/2006/relationships/header" Target="header24.xml"/><Relationship Id="rId54" Type="http://schemas.openxmlformats.org/officeDocument/2006/relationships/footer" Target="footer22.xml"/><Relationship Id="rId55" Type="http://schemas.openxmlformats.org/officeDocument/2006/relationships/footer" Target="footer23.xml"/><Relationship Id="rId56" Type="http://schemas.openxmlformats.org/officeDocument/2006/relationships/footer" Target="footer2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Dolan v. City of Tigard, 512 U. S. 374 (1994) — Simulated Stone-Zsela Majority</dc:title>
  <dc:subject>Simulated Supreme Court majority opinion, October Term 1993</dc:subject>
  <dc:creator>Supreme Court of the United States (simulation)</dc:creator>
  <cp:keywords>Dolan; Tigard; exactions; rough proportionality; Takings Clause; 1994; simulation</cp:keywords>
  <dc:description>Rewritten period facsimile; authorities and record facts limited to materials available by June 24, 1994.</dc:description>
  <cp:lastModifiedBy/>
  <cp:revision>1</cp:revision>
  <dcterms:created xsi:type="dcterms:W3CDTF">2013-12-23T23:15:00Z</dcterms:created>
  <dcterms:modified xsi:type="dcterms:W3CDTF">2013-12-23T23:15:00Z</dcterms:modified>
  <cp:category/>
</cp:coreProperties>
</file>