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entury Schoolbook" w:hAnsi="Century Schoolbook"/>
          <w:b/>
          <w:i w:val="0"/>
          <w:smallCaps w:val="0"/>
          <w:sz w:val="20"/>
        </w:rPr>
        <w:t>OCTOBER TERM, 1993</w:t>
      </w:r>
    </w:p>
    <w:p>
      <w:pPr>
        <w:spacing w:before="0" w:after="160"/>
        <w:jc w:val="center"/>
      </w:pPr>
      <w:r>
        <w:rPr>
          <w:rFonts w:ascii="Century Schoolbook" w:hAnsi="Century Schoolbook"/>
          <w:b w:val="0"/>
          <w:i/>
          <w:smallCaps w:val="0"/>
          <w:sz w:val="20"/>
        </w:rPr>
        <w:t>Syllabus</w:t>
      </w:r>
    </w:p>
    <w:p>
      <w:pPr>
        <w:spacing w:after="160" w:line="240" w:lineRule="auto"/>
        <w:jc w:val="both"/>
      </w:pPr>
      <w:r>
        <w:rPr>
          <w:rFonts w:ascii="Century Schoolbook" w:hAnsi="Century Schoolbook"/>
          <w:b w:val="0"/>
          <w:i w:val="0"/>
          <w:smallCaps w:val="0"/>
          <w:sz w:val="17"/>
        </w:rPr>
        <w:t xml:space="preserve">NOTE: The syllabus constitutes no part of the opinion of the Court but has been prepared by the Reporter of Decisions for the convenience of the reader. See </w:t>
      </w:r>
      <w:r>
        <w:rPr>
          <w:rFonts w:ascii="Century Schoolbook" w:hAnsi="Century Schoolbook"/>
          <w:b w:val="0"/>
          <w:i/>
          <w:smallCaps w:val="0"/>
          <w:sz w:val="17"/>
        </w:rPr>
        <w:t>United States v. Detroit Timber &amp; Lumber Co.</w:t>
      </w:r>
      <w:r>
        <w:rPr>
          <w:rFonts w:ascii="Century Schoolbook" w:hAnsi="Century Schoolbook"/>
          <w:b w:val="0"/>
          <w:i w:val="0"/>
          <w:smallCaps w:val="0"/>
          <w:sz w:val="17"/>
        </w:rPr>
        <w:t>, 200 U. S. 321, 337.</w:t>
      </w:r>
    </w:p>
    <w:p>
      <w:pPr>
        <w:spacing w:before="0" w:after="20"/>
        <w:jc w:val="center"/>
      </w:pPr>
      <w:r>
        <w:rPr>
          <w:rFonts w:ascii="Century Schoolbook" w:hAnsi="Century Schoolbook"/>
          <w:b/>
          <w:i w:val="0"/>
          <w:smallCaps w:val="0"/>
          <w:sz w:val="21"/>
        </w:rPr>
        <w:t>HOLDER, individually and in his official capacity as</w:t>
      </w:r>
    </w:p>
    <w:p>
      <w:pPr>
        <w:spacing w:before="0" w:after="20"/>
        <w:jc w:val="center"/>
      </w:pPr>
      <w:r>
        <w:rPr>
          <w:rFonts w:ascii="Century Schoolbook" w:hAnsi="Century Schoolbook"/>
          <w:b/>
          <w:i w:val="0"/>
          <w:smallCaps w:val="0"/>
          <w:sz w:val="21"/>
        </w:rPr>
        <w:t>COUNTY COMMISSIONER FOR BLECKLEY COUNTY,</w:t>
      </w:r>
    </w:p>
    <w:p>
      <w:pPr>
        <w:spacing w:before="0" w:after="160"/>
        <w:jc w:val="center"/>
      </w:pPr>
      <w:r>
        <w:rPr>
          <w:rFonts w:ascii="Century Schoolbook" w:hAnsi="Century Schoolbook"/>
          <w:b/>
          <w:i w:val="0"/>
          <w:smallCaps w:val="0"/>
          <w:sz w:val="21"/>
        </w:rPr>
        <w:t>GEORGIA, et al. v. HALL et al.</w:t>
      </w:r>
    </w:p>
    <w:p>
      <w:pPr>
        <w:spacing w:before="0" w:after="20"/>
        <w:jc w:val="center"/>
      </w:pPr>
      <w:r>
        <w:rPr>
          <w:rFonts w:ascii="Century Schoolbook" w:hAnsi="Century Schoolbook"/>
          <w:b/>
          <w:i w:val="0"/>
          <w:smallCaps w:val="0"/>
          <w:sz w:val="18"/>
        </w:rPr>
        <w:t>CERTIORARI TO THE UNITED STATES COURT OF APPEALS FOR</w:t>
      </w:r>
    </w:p>
    <w:p>
      <w:pPr>
        <w:spacing w:before="0" w:after="100"/>
        <w:jc w:val="center"/>
      </w:pPr>
      <w:r>
        <w:rPr>
          <w:rFonts w:ascii="Century Schoolbook" w:hAnsi="Century Schoolbook"/>
          <w:b/>
          <w:i w:val="0"/>
          <w:smallCaps w:val="0"/>
          <w:sz w:val="18"/>
        </w:rPr>
        <w:t>THE ELEVENTH CIRCUIT</w:t>
      </w:r>
    </w:p>
    <w:p>
      <w:pPr>
        <w:spacing w:before="0" w:after="200"/>
        <w:jc w:val="center"/>
      </w:pPr>
      <w:r>
        <w:rPr>
          <w:rFonts w:ascii="Century Schoolbook" w:hAnsi="Century Schoolbook"/>
          <w:b w:val="0"/>
          <w:i w:val="0"/>
          <w:smallCaps w:val="0"/>
          <w:sz w:val="19"/>
        </w:rPr>
        <w:t>No. 91–2012. Argued October 4, 1993—Decided June 30, 1994</w:t>
      </w:r>
    </w:p>
    <w:p>
      <w:r>
        <w:rPr>
          <w:rFonts w:ascii="Century Schoolbook" w:hAnsi="Century Schoolbook"/>
          <w:b w:val="0"/>
          <w:i w:val="0"/>
          <w:smallCaps w:val="0"/>
          <w:sz w:val="21"/>
        </w:rPr>
        <w:t>Bleckley County, Georgia, has had a single elected county commissioner since the county was created in 1912. The commissioner exercises the county’s legislative and executive authority. In 1985 the Georgia Legislature authorized a referendum on a different arrangement: five commissioners elected from single-member districts and a chairman elected at large. The voters rejected that proposal in 1986. Four years earlier, however, they had approved a five-member school board elected from single-member districts.</w:t>
      </w:r>
    </w:p>
    <w:p>
      <w:r>
        <w:rPr>
          <w:rFonts w:ascii="Century Schoolbook" w:hAnsi="Century Schoolbook"/>
          <w:b w:val="0"/>
          <w:i w:val="0"/>
          <w:smallCaps w:val="0"/>
          <w:sz w:val="21"/>
        </w:rPr>
        <w:t xml:space="preserve">Respondents, six black registered voters and the local chapter of the National Association for the Advancement of Colored People, challenged the sole-commissioner system under § 2 of the Voting Rights Act of 1965 and the Fourteenth and Fifteenth Amendments. After a bench trial, the District Court rejected both claims. It found that respondents had shown that black voters could constitute a majority in one district under the five-district arrangement, but had not proved political cohesion or white bloc voting sufficient usually to defeat the minority’s preferred candidate. The Court of Appeals reversed on the statutory claim. It held that all three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preconditions were satisfied and that the totality of circumstances established liability. In reaching the latter conclusion, the court stated that satisfaction of the preconditions shifted the burden to petitioners and relied on the absence of meaningful rebuttal evidence. 955 F. 2d 1563.</w:t>
      </w:r>
    </w:p>
    <w:p>
      <w:pPr/>
      <w:r>
        <w:rPr>
          <w:rFonts w:ascii="Century Schoolbook" w:hAnsi="Century Schoolbook"/>
          <w:b/>
          <w:i/>
          <w:smallCaps w:val="0"/>
          <w:sz w:val="21"/>
        </w:rPr>
        <w:t>Held: The judgment is vacated, and the case is remanded.</w:t>
      </w:r>
    </w:p>
    <w:p>
      <w:r>
        <w:rPr>
          <w:rFonts w:ascii="Century Schoolbook" w:hAnsi="Century Schoolbook"/>
          <w:b w:val="0"/>
          <w:i w:val="0"/>
          <w:smallCaps w:val="0"/>
          <w:sz w:val="21"/>
        </w:rPr>
        <w:t>1. A challenge to the size of a governing body is cognizable under § 2 when the plaintiff identifies a concrete and workable alternative structure grounded in objective law, governmental practice, history, or a closely comparable institution. The comparison required by a dilution claim cannot rest only on the assertion that some larger body would improve the minority group’s prospects. Here the five-district comparator has three objective anchors: the Georgia Legislature specifically authorized it for Bleckley County; five-member county commissions are a common form of government in Georgia; and Bleckley County already elects a five-member school board from single-member districts. These sources make the comparator administrable. They do not establish that it is the best form of county government or that § 2 requires the County to adopt it.</w:t>
      </w:r>
    </w:p>
    <w:p>
      <w:r>
        <w:rPr>
          <w:rFonts w:ascii="Century Schoolbook" w:hAnsi="Century Schoolbook"/>
          <w:b w:val="0"/>
          <w:i w:val="0"/>
          <w:smallCaps w:val="0"/>
          <w:sz w:val="21"/>
        </w:rPr>
        <w:t xml:space="preserve">2. Comparator sufficiency does not establish vote dilution, shift the burden of persuasion, or create a right to proportional representation. Respondents retain the burden to prove the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preconditions and, under the statutory totality, that the challenged practice leaves them with less opportunity than other voters to participate in the political process and to elect representatives of their choice. The Court of Appeals did not apply that sequence and allocation. Its statement that the </w:t>
      </w:r>
      <w:r>
        <w:rPr>
          <w:rFonts w:ascii="Century Schoolbook" w:hAnsi="Century Schoolbook"/>
          <w:b w:val="0"/>
          <w:i/>
          <w:smallCaps w:val="0"/>
          <w:sz w:val="21"/>
        </w:rPr>
        <w:t>Gingles</w:t>
      </w:r>
      <w:r>
        <w:rPr>
          <w:rFonts w:ascii="Century Schoolbook" w:hAnsi="Century Schoolbook"/>
          <w:b w:val="0"/>
          <w:i w:val="0"/>
          <w:smallCaps w:val="0"/>
          <w:sz w:val="21"/>
        </w:rPr>
        <w:t xml:space="preserve"> showing shifted the burden to petitioners was error, and its liability determination cannot be separated from that error. Because the ultimate finding of dilution and the subsidiary findings are subject to Rule 52(a), the proper course is to vacate and remand for the remaining § 2 inquiries under the correct standard. The Court expresses no view whether the existing record proves or disproves dilution.</w:t>
      </w:r>
    </w:p>
    <w:p>
      <w:pPr/>
      <w:r>
        <w:rPr>
          <w:rFonts w:ascii="Century Schoolbook" w:hAnsi="Century Schoolbook"/>
          <w:b w:val="0"/>
          <w:i w:val="0"/>
          <w:smallCaps w:val="0"/>
          <w:sz w:val="21"/>
        </w:rPr>
        <w:t>955 F. 2d 1563, vacated and remanded.</w:t>
      </w:r>
    </w:p>
    <w:p>
      <w:pPr/>
      <w:r>
        <w:rPr>
          <w:rFonts w:ascii="Century Schoolbook" w:hAnsi="Century Schoolbook"/>
          <w:b w:val="0"/>
          <w:i w:val="0"/>
          <w:smallCaps w:val="0"/>
          <w:sz w:val="21"/>
        </w:rPr>
        <w:t>STONE-ZSELA, C. J., announced the judgment of the Court and delivered an opinion with respect to Part I, the opinion of the Court with respect to Part II, in which BLACKMUN, STEVENS, SOUTER, and GINSBURG, JJ., joined, and an opinion of the Court with respect to Part III, in which O’CONNOR, SCALIA, KENNEDY, and THOMAS, JJ., joined. KENNEDY, J., filed an opinion concurring in Part III and in the judgment, in which O’CONNOR, J., joined. THOMAS, J., filed an opinion concurring in Part III and in the judgment, in which SCALIA, J., joined. BLACKMUN, STEVENS, SOUTER, and GINSBURG, JJ., dissented from the judgment.</w:t>
      </w:r>
    </w:p>
    <w:p>
      <w:r>
        <w:br w:type="page"/>
      </w:r>
    </w:p>
    <w:p>
      <w:pPr>
        <w:spacing w:before="0" w:after="160"/>
        <w:jc w:val="center"/>
      </w:pPr>
      <w:r>
        <w:rPr>
          <w:rFonts w:ascii="Century Schoolbook" w:hAnsi="Century Schoolbook"/>
          <w:b/>
          <w:i w:val="0"/>
          <w:smallCaps w:val="0"/>
          <w:sz w:val="22"/>
        </w:rPr>
        <w:t>HOLDER v. HALL</w:t>
      </w:r>
    </w:p>
    <w:p>
      <w:pPr>
        <w:spacing w:before="0" w:after="20"/>
        <w:jc w:val="center"/>
      </w:pPr>
      <w:r>
        <w:rPr>
          <w:rFonts w:ascii="Century Schoolbook" w:hAnsi="Century Schoolbook"/>
          <w:b/>
          <w:i w:val="0"/>
          <w:smallCaps w:val="0"/>
          <w:sz w:val="18"/>
        </w:rPr>
        <w:t>ON WRIT OF CERTIORARI TO THE UNITED STATES COURT OF</w:t>
      </w:r>
    </w:p>
    <w:p>
      <w:pPr>
        <w:spacing w:before="0" w:after="100"/>
        <w:jc w:val="center"/>
      </w:pPr>
      <w:r>
        <w:rPr>
          <w:rFonts w:ascii="Century Schoolbook" w:hAnsi="Century Schoolbook"/>
          <w:b/>
          <w:i w:val="0"/>
          <w:smallCaps w:val="0"/>
          <w:sz w:val="18"/>
        </w:rPr>
        <w:t>APPEALS FOR THE ELEVENTH CIRCUIT</w:t>
      </w:r>
    </w:p>
    <w:p>
      <w:pPr>
        <w:spacing w:before="0" w:after="200"/>
        <w:jc w:val="center"/>
      </w:pPr>
      <w:r>
        <w:rPr>
          <w:rFonts w:ascii="Century Schoolbook" w:hAnsi="Century Schoolbook"/>
          <w:b w:val="0"/>
          <w:i w:val="0"/>
          <w:smallCaps w:val="0"/>
          <w:sz w:val="19"/>
        </w:rPr>
        <w:t>[June 30, 1994]</w:t>
      </w:r>
    </w:p>
    <w:p>
      <w:pPr/>
      <w:r>
        <w:rPr>
          <w:rFonts w:ascii="Century Schoolbook" w:hAnsi="Century Schoolbook"/>
          <w:b w:val="0"/>
          <w:i w:val="0"/>
          <w:smallCaps w:val="0"/>
          <w:sz w:val="21"/>
        </w:rPr>
        <w:t>CHIEF JUSTICE STONE-ZSELA announced the judgment of the Court and delivered an opinion with respect to Part I, the opinion of the Court with respect to Part II, in which JUSTICES BLACKMUN, STEVENS, SOUTER, and GINSBURG join, and an opinion of the Court with respect to Part III, in which JUSTICES O’CONNOR, SCALIA, KENNEDY, and THOMAS join.</w:t>
      </w:r>
    </w:p>
    <w:p>
      <w:r>
        <w:rPr>
          <w:rFonts w:ascii="Century Schoolbook" w:hAnsi="Century Schoolbook"/>
          <w:b w:val="0"/>
          <w:i w:val="0"/>
          <w:smallCaps w:val="0"/>
          <w:sz w:val="21"/>
        </w:rPr>
        <w:t>This case presents two questions that the judgment below treated too nearly as one. The first is whether the size of Bleckley County’s governing authority may be tested under § 2 of the Voting Rights Act of 1965 against the five-district structure proposed by respondents. The second is whether the present system, measured under the remaining requirements of § 2, denies respondents equal electoral opportunity. We hold that the proposed structure supplies an objective and workable comparator. That threshold conclusion does not establish liability. Because the Court of Appeals assigned dispositive force to the threshold showings and shifted the burden of persuasion, its judgment must be vacated and the case remanded.</w:t>
      </w:r>
    </w:p>
    <w:p>
      <w:pPr>
        <w:keepNext/>
        <w:spacing w:before="140" w:after="80"/>
        <w:jc w:val="center"/>
      </w:pPr>
      <w:r>
        <w:rPr>
          <w:rFonts w:ascii="Century Schoolbook" w:hAnsi="Century Schoolbook"/>
          <w:b w:val="0"/>
          <w:i w:val="0"/>
          <w:smallCaps w:val="0"/>
          <w:sz w:val="21"/>
        </w:rPr>
        <w:t>I</w:t>
      </w:r>
    </w:p>
    <w:p>
      <w:r>
        <w:rPr>
          <w:rFonts w:ascii="Century Schoolbook" w:hAnsi="Century Schoolbook"/>
          <w:b w:val="0"/>
          <w:i w:val="0"/>
          <w:smallCaps w:val="0"/>
          <w:sz w:val="21"/>
        </w:rPr>
        <w:t xml:space="preserve">Bleckley County is a rural county in central Georgia. Black citizens comprised approximately 19 percent of its voting-age population at the time of trial. Since the county’s creation in 1912, a single elected commissioner has exercised the powers of the county governing authority. Those powers include both executive and legislative functions, among them levying taxes, controlling county property, and settling claims. Ga. Code Ann. §§ 1-3-3(7), 36-5-22.1 (1993); </w:t>
      </w:r>
      <w:r>
        <w:rPr>
          <w:rFonts w:ascii="Century Schoolbook" w:hAnsi="Century Schoolbook"/>
          <w:b w:val="0"/>
          <w:i/>
          <w:smallCaps w:val="0"/>
          <w:sz w:val="21"/>
        </w:rPr>
        <w:t>Hall v. Holder</w:t>
      </w:r>
      <w:r>
        <w:rPr>
          <w:rFonts w:ascii="Century Schoolbook" w:hAnsi="Century Schoolbook"/>
          <w:b w:val="0"/>
          <w:i w:val="0"/>
          <w:smallCaps w:val="0"/>
          <w:sz w:val="21"/>
        </w:rPr>
        <w:t>, 757 F. Supp. 1560, 1561–1562 (MD Ga. 1991). The commissioner is elected countywide and, since 1964, must receive a majority of the votes cast. 955 F. 2d 1563, 1566 (CA11 1992).</w:t>
      </w:r>
    </w:p>
    <w:p>
      <w:r>
        <w:rPr>
          <w:rFonts w:ascii="Century Schoolbook" w:hAnsi="Century Schoolbook"/>
          <w:b w:val="0"/>
          <w:i w:val="0"/>
          <w:smallCaps w:val="0"/>
          <w:sz w:val="21"/>
        </w:rPr>
        <w:t>The Georgia Legislature in 1985 authorized Bleckley County to submit a new structure to referendum. Under the proposed enactment, five commissioners would be elected from single-member districts and a chairman would be elected at large. 1985 Ga. Laws 4406. The voters rejected the proposal in 1986. They had approved in 1982 a five-member district plan for the county school board. Thus the arrangement respondents use for comparison was never adopted for the county commission, but neither was it devised for this litigation. State law placed it before this county’s electorate, and the county already uses its district lines to elect a five-member body. We refer to the five single-member districts, together with the separately elected chairman authorized by the 1985 Act, as the five-district comparator.</w:t>
      </w:r>
    </w:p>
    <w:p>
      <w:r>
        <w:rPr>
          <w:rFonts w:ascii="Century Schoolbook" w:hAnsi="Century Schoolbook"/>
          <w:b w:val="0"/>
          <w:i w:val="0"/>
          <w:smallCaps w:val="0"/>
          <w:sz w:val="21"/>
        </w:rPr>
        <w:t>Respondents are six black registered voters of Bleckley County and the Cochran/Bleckley County Chapter of the National Association for the Advancement of Colored People. They filed this action in 1985 against the incumbent commissioner and the county’s superintendent of elections. Their remaining complaint challenged the sole-commissioner system under § 2 and under the Fourteenth and Fifteenth Amendments. After a four-day bench trial, the District Court entered judgment for petitioners. 757 F. Supp., at 1584.</w:t>
      </w:r>
    </w:p>
    <w:p>
      <w:r>
        <w:rPr>
          <w:rFonts w:ascii="Century Schoolbook" w:hAnsi="Century Schoolbook"/>
          <w:b w:val="0"/>
          <w:i w:val="0"/>
          <w:smallCaps w:val="0"/>
          <w:sz w:val="21"/>
        </w:rPr>
        <w:t>The District Court made findings both favorable and adverse to respondents. It found a history of official segregation and exclusion from local government, continuing socioeconomic effects that hinder political participation, and no black person who had run for or been elected county commissioner. Id., at 1562–1563. It also found no evidence that the sole-commissioner system was enacted or maintained with discriminatory intent, no candidate-slating barrier, no demonstrated racial appeals in recent local elections, and no unresponsiveness by the commissioner to the particularized needs of black citizens. Id., at 1562, n. 2, 1564, 1571, 1583.</w:t>
      </w:r>
    </w:p>
    <w:p>
      <w:r>
        <w:rPr>
          <w:rFonts w:ascii="Century Schoolbook" w:hAnsi="Century Schoolbook"/>
          <w:b w:val="0"/>
          <w:i w:val="0"/>
          <w:smallCaps w:val="0"/>
          <w:sz w:val="21"/>
        </w:rPr>
        <w:t xml:space="preserve">On the statutory claim, the District Court applied </w:t>
      </w:r>
      <w:r>
        <w:rPr>
          <w:rFonts w:ascii="Century Schoolbook" w:hAnsi="Century Schoolbook"/>
          <w:b w:val="0"/>
          <w:i/>
          <w:smallCaps w:val="0"/>
          <w:sz w:val="21"/>
        </w:rPr>
        <w:t>Thornburg v. Gingles</w:t>
      </w:r>
      <w:r>
        <w:rPr>
          <w:rFonts w:ascii="Century Schoolbook" w:hAnsi="Century Schoolbook"/>
          <w:b w:val="0"/>
          <w:i w:val="0"/>
          <w:smallCaps w:val="0"/>
          <w:sz w:val="21"/>
        </w:rPr>
        <w:t>, 478 U. S. 30 (1986). It found the first precondition satisfied because black voters were sufficiently numerous and geographically compact to constitute a majority in one district of the proposed arrangement. 757 F. Supp., at 1565. It found the proof insufficient, however, to establish either political cohesion among black voters or white bloc voting sufficient usually to defeat the minority’s preferred candidate. Id., at 1575–1583. Considering the remaining statutory circumstances as well, the court concluded that respondents had not proved a § 2 violation. Id., at 1583–1584.</w:t>
      </w:r>
    </w:p>
    <w:p>
      <w:r>
        <w:rPr>
          <w:rFonts w:ascii="Century Schoolbook" w:hAnsi="Century Schoolbook"/>
          <w:b w:val="0"/>
          <w:i w:val="0"/>
          <w:smallCaps w:val="0"/>
          <w:sz w:val="21"/>
        </w:rPr>
        <w:t xml:space="preserve">The Court of Appeals reversed. It agreed that the first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 could be evaluated within a five-district structure and held that the District Court’s findings on political cohesion and white bloc voting were clearly erroneous. 955 F. 2d, at 1569–1573. It then stated that satisfaction of the three preconditions shifted the burden to petitioners to offer rebuttal evidence. Finding no meaningful rebuttal, it held that the totality of circumstances established a violation and remanded for a remedy that could be modeled on the school-board system. Id., at 1573–1574, and n. 20. The Court of Appeals did not consider the constitutional claim. We granted certiorari to review its statutory holding. 507 U. S. 959 (1993).</w:t>
      </w:r>
    </w:p>
    <w:p>
      <w:pPr>
        <w:keepNext/>
        <w:spacing w:before="140" w:after="80"/>
        <w:jc w:val="center"/>
      </w:pPr>
      <w:r>
        <w:rPr>
          <w:rFonts w:ascii="Century Schoolbook" w:hAnsi="Century Schoolbook"/>
          <w:b w:val="0"/>
          <w:i w:val="0"/>
          <w:smallCaps w:val="0"/>
          <w:sz w:val="21"/>
        </w:rPr>
        <w:t>II</w:t>
      </w:r>
    </w:p>
    <w:p>
      <w:pPr>
        <w:keepNext/>
        <w:spacing w:before="140" w:after="80"/>
        <w:jc w:val="center"/>
      </w:pPr>
      <w:r>
        <w:rPr>
          <w:rFonts w:ascii="Century Schoolbook" w:hAnsi="Century Schoolbook"/>
          <w:b w:val="0"/>
          <w:i w:val="0"/>
          <w:smallCaps w:val="0"/>
          <w:sz w:val="21"/>
        </w:rPr>
        <w:t>A</w:t>
      </w:r>
    </w:p>
    <w:p>
      <w:r>
        <w:rPr>
          <w:rFonts w:ascii="Century Schoolbook" w:hAnsi="Century Schoolbook"/>
          <w:b w:val="0"/>
          <w:i w:val="0"/>
          <w:smallCaps w:val="0"/>
          <w:sz w:val="21"/>
        </w:rPr>
        <w:t>Section 2(a) prohibits a State or political subdivision from imposing or applying a voting qualification, prerequisite, standard, practice, or procedure in a manner that results in denial or abridgment of the right to vote on account of race or color. 42 U. S. C. § 1973(a). Section 2(b) defines the prohibited result by the political process in operation. Liability depends on whether, under the totality of circumstances, the process is equally open and whether members of the protected class have less opportunity than other voters to participate and elect representatives of their choice. Congress added an express limit: § 2 creates no right to representation in numbers equal to a group’s proportion of the population. § 1973(b).</w:t>
      </w:r>
    </w:p>
    <w:p>
      <w:r>
        <w:rPr>
          <w:rFonts w:ascii="Century Schoolbook" w:hAnsi="Century Schoolbook"/>
          <w:b w:val="0"/>
          <w:i w:val="0"/>
          <w:smallCaps w:val="0"/>
          <w:sz w:val="21"/>
        </w:rPr>
        <w:t xml:space="preserve">The words “standard, practice, or procedure” reach the composition of an elected governing authority. Our cases under § 5 have treated a change in the number of elected offices as a voting change within the Act. </w:t>
      </w:r>
      <w:r>
        <w:rPr>
          <w:rFonts w:ascii="Century Schoolbook" w:hAnsi="Century Schoolbook"/>
          <w:b w:val="0"/>
          <w:i/>
          <w:smallCaps w:val="0"/>
          <w:sz w:val="21"/>
        </w:rPr>
        <w:t>City of Rome v. United States</w:t>
      </w:r>
      <w:r>
        <w:rPr>
          <w:rFonts w:ascii="Century Schoolbook" w:hAnsi="Century Schoolbook"/>
          <w:b w:val="0"/>
          <w:i w:val="0"/>
          <w:smallCaps w:val="0"/>
          <w:sz w:val="21"/>
        </w:rPr>
        <w:t xml:space="preserve">, 446 U. S. 156, 160–161 (1980); </w:t>
      </w:r>
      <w:r>
        <w:rPr>
          <w:rFonts w:ascii="Century Schoolbook" w:hAnsi="Century Schoolbook"/>
          <w:b w:val="0"/>
          <w:i/>
          <w:smallCaps w:val="0"/>
          <w:sz w:val="21"/>
        </w:rPr>
        <w:t>City of Lockhart v. United States</w:t>
      </w:r>
      <w:r>
        <w:rPr>
          <w:rFonts w:ascii="Century Schoolbook" w:hAnsi="Century Schoolbook"/>
          <w:b w:val="0"/>
          <w:i w:val="0"/>
          <w:smallCaps w:val="0"/>
          <w:sz w:val="21"/>
        </w:rPr>
        <w:t xml:space="preserve">, 460 U. S. 125, 131–132 (1983); </w:t>
      </w:r>
      <w:r>
        <w:rPr>
          <w:rFonts w:ascii="Century Schoolbook" w:hAnsi="Century Schoolbook"/>
          <w:b w:val="0"/>
          <w:i/>
          <w:smallCaps w:val="0"/>
          <w:sz w:val="21"/>
        </w:rPr>
        <w:t>Presley v. Etowah County Comm’n</w:t>
      </w:r>
      <w:r>
        <w:rPr>
          <w:rFonts w:ascii="Century Schoolbook" w:hAnsi="Century Schoolbook"/>
          <w:b w:val="0"/>
          <w:i w:val="0"/>
          <w:smallCaps w:val="0"/>
          <w:sz w:val="21"/>
        </w:rPr>
        <w:t xml:space="preserve">, 502 U. S. 491, 500 (1992). Section 2 omits the phrase “with respect to voting” that appears in § 5; that textual difference supplies no basis for excluding from § 2 a practice already within § 5’s formulation. We have accordingly read the provisions in parallel when deciding threshold coverage. </w:t>
      </w:r>
      <w:r>
        <w:rPr>
          <w:rFonts w:ascii="Century Schoolbook" w:hAnsi="Century Schoolbook"/>
          <w:b w:val="0"/>
          <w:i/>
          <w:smallCaps w:val="0"/>
          <w:sz w:val="21"/>
        </w:rPr>
        <w:t>Chisom v. Roemer</w:t>
      </w:r>
      <w:r>
        <w:rPr>
          <w:rFonts w:ascii="Century Schoolbook" w:hAnsi="Century Schoolbook"/>
          <w:b w:val="0"/>
          <w:i w:val="0"/>
          <w:smallCaps w:val="0"/>
          <w:sz w:val="21"/>
        </w:rPr>
        <w:t xml:space="preserve">, 501 U. S. 380, 401–402 (1991). Nor have we recognized an exemption merely because a challenged election concerns a single office. </w:t>
      </w:r>
      <w:r>
        <w:rPr>
          <w:rFonts w:ascii="Century Schoolbook" w:hAnsi="Century Schoolbook"/>
          <w:b w:val="0"/>
          <w:i/>
          <w:smallCaps w:val="0"/>
          <w:sz w:val="21"/>
        </w:rPr>
        <w:t>Houston Lawyers’ Assn. v. Attorney General of Tex.</w:t>
      </w:r>
      <w:r>
        <w:rPr>
          <w:rFonts w:ascii="Century Schoolbook" w:hAnsi="Century Schoolbook"/>
          <w:b w:val="0"/>
          <w:i w:val="0"/>
          <w:smallCaps w:val="0"/>
          <w:sz w:val="21"/>
        </w:rPr>
        <w:t>, 501 U. S. 419, 425–428 (1991).</w:t>
      </w:r>
    </w:p>
    <w:p>
      <w:r>
        <w:rPr>
          <w:rFonts w:ascii="Century Schoolbook" w:hAnsi="Century Schoolbook"/>
          <w:b w:val="0"/>
          <w:i w:val="0"/>
          <w:smallCaps w:val="0"/>
          <w:sz w:val="21"/>
        </w:rPr>
        <w:t xml:space="preserve">JUSTICE THOMAS, joined by JUSTICE SCALIA, would construe § 2 to reach only rules governing access to the ballot and its counting, and would overrule </w:t>
      </w:r>
      <w:r>
        <w:rPr>
          <w:rFonts w:ascii="Century Schoolbook" w:hAnsi="Century Schoolbook"/>
          <w:b w:val="0"/>
          <w:i/>
          <w:smallCaps w:val="0"/>
          <w:sz w:val="21"/>
        </w:rPr>
        <w:t>Gingles</w:t>
      </w:r>
      <w:r>
        <w:rPr>
          <w:rFonts w:ascii="Century Schoolbook" w:hAnsi="Century Schoolbook"/>
          <w:b w:val="0"/>
          <w:i w:val="0"/>
          <w:smallCaps w:val="0"/>
          <w:sz w:val="21"/>
        </w:rPr>
        <w:t xml:space="preserve"> insofar as it permits vote-dilution claims. That construction cannot be reconciled with the statutory rule this Court has applied since Congress amended § 2 in 1982. </w:t>
      </w:r>
      <w:r>
        <w:rPr>
          <w:rFonts w:ascii="Century Schoolbook" w:hAnsi="Century Schoolbook"/>
          <w:b w:val="0"/>
          <w:i/>
          <w:smallCaps w:val="0"/>
          <w:sz w:val="21"/>
        </w:rPr>
        <w:t>Gingles</w:t>
      </w:r>
      <w:r>
        <w:rPr>
          <w:rFonts w:ascii="Century Schoolbook" w:hAnsi="Century Schoolbook"/>
          <w:b w:val="0"/>
          <w:i w:val="0"/>
          <w:smallCaps w:val="0"/>
          <w:sz w:val="21"/>
        </w:rPr>
        <w:t xml:space="preserve"> held that the amended section reaches an electoral structure that interacts with social and historical conditions to produce unequal opportunity. 478 U. S., at 43–47. </w:t>
      </w:r>
      <w:r>
        <w:rPr>
          <w:rFonts w:ascii="Century Schoolbook" w:hAnsi="Century Schoolbook"/>
          <w:b w:val="0"/>
          <w:i/>
          <w:smallCaps w:val="0"/>
          <w:sz w:val="21"/>
        </w:rPr>
        <w:t>Chisom</w:t>
      </w:r>
      <w:r>
        <w:rPr>
          <w:rFonts w:ascii="Century Schoolbook" w:hAnsi="Century Schoolbook"/>
          <w:b w:val="0"/>
          <w:i w:val="0"/>
          <w:smallCaps w:val="0"/>
          <w:sz w:val="21"/>
        </w:rPr>
        <w:t xml:space="preserve"> and </w:t>
      </w:r>
      <w:r>
        <w:rPr>
          <w:rFonts w:ascii="Century Schoolbook" w:hAnsi="Century Schoolbook"/>
          <w:b w:val="0"/>
          <w:i/>
          <w:smallCaps w:val="0"/>
          <w:sz w:val="21"/>
        </w:rPr>
        <w:t>Houston Lawyers’ Association</w:t>
      </w:r>
      <w:r>
        <w:rPr>
          <w:rFonts w:ascii="Century Schoolbook" w:hAnsi="Century Schoolbook"/>
          <w:b w:val="0"/>
          <w:i w:val="0"/>
          <w:smallCaps w:val="0"/>
          <w:sz w:val="21"/>
        </w:rPr>
        <w:t xml:space="preserve"> applied the same results provision beyond physical access to a ballot. Whatever difficulties attend a dilution inquiry, they do not authorize us to discard that settled construction in this case.</w:t>
      </w:r>
    </w:p>
    <w:p>
      <w:r>
        <w:rPr>
          <w:rFonts w:ascii="Century Schoolbook" w:hAnsi="Century Schoolbook"/>
          <w:b w:val="0"/>
          <w:i w:val="0"/>
          <w:smallCaps w:val="0"/>
          <w:sz w:val="21"/>
        </w:rPr>
        <w:t xml:space="preserve">Coverage does not answer whether a dilution claim can be adjudicated. Dilution is comparative. A court cannot decide that a practice has weakened a group’s electoral opportunity without identifying a lawful alternative against which the existing practice can be measured. </w:t>
      </w:r>
      <w:r>
        <w:rPr>
          <w:rFonts w:ascii="Century Schoolbook" w:hAnsi="Century Schoolbook"/>
          <w:b w:val="0"/>
          <w:i/>
          <w:smallCaps w:val="0"/>
          <w:sz w:val="21"/>
        </w:rPr>
        <w:t>Gingles</w:t>
      </w:r>
      <w:r>
        <w:rPr>
          <w:rFonts w:ascii="Century Schoolbook" w:hAnsi="Century Schoolbook"/>
          <w:b w:val="0"/>
          <w:i w:val="0"/>
          <w:smallCaps w:val="0"/>
          <w:sz w:val="21"/>
        </w:rPr>
        <w:t xml:space="preserve"> therefore requires plaintiffs to show that the minority group could constitute a majority in a single-member district in the absence of the challenged structure. 478 U. S., at 50, and n. 17. That inquiry presupposes a comparator whose selection is not itself a conclusion about the desired electoral result.</w:t>
      </w:r>
    </w:p>
    <w:p>
      <w:r>
        <w:rPr>
          <w:rFonts w:ascii="Century Schoolbook" w:hAnsi="Century Schoolbook"/>
          <w:b w:val="0"/>
          <w:i w:val="0"/>
          <w:smallCaps w:val="0"/>
          <w:sz w:val="21"/>
        </w:rPr>
        <w:t>A plaintiff challenging governing-body size must identify a concrete and workable alternative grounded in objective law, governmental practice, history, or a closely comparable institution. A court may not select a larger body only because dividing the electorate into more districts would improve the plaintiff group’s prospect of electing a candidate. The comparator must be an administrable governmental arrangement with a source independent of that consequence. This requirement belongs to the comparative merits of a dilution claim. It is not a jurisdictional limit, and identifying the comparator does not establish any of the remaining elements of liability.</w:t>
      </w:r>
    </w:p>
    <w:p>
      <w:pPr>
        <w:keepNext/>
        <w:spacing w:before="140" w:after="80"/>
        <w:jc w:val="center"/>
      </w:pPr>
      <w:r>
        <w:rPr>
          <w:rFonts w:ascii="Century Schoolbook" w:hAnsi="Century Schoolbook"/>
          <w:b w:val="0"/>
          <w:i w:val="0"/>
          <w:smallCaps w:val="0"/>
          <w:sz w:val="21"/>
        </w:rPr>
        <w:t>B</w:t>
      </w:r>
    </w:p>
    <w:p>
      <w:r>
        <w:rPr>
          <w:rFonts w:ascii="Century Schoolbook" w:hAnsi="Century Schoolbook"/>
          <w:b w:val="0"/>
          <w:i w:val="0"/>
          <w:smallCaps w:val="0"/>
          <w:sz w:val="21"/>
        </w:rPr>
        <w:t>The five-district comparator satisfies that requirement. It rests first on law directed to Bleckley County itself. The 1985 enactment specified five single-member commission districts and an at-large chairman and authorized the county to adopt that structure by referendum. 1985 Ga. Laws 4406. Rejection of the proposal means that the enactment did not replace the existing government. It does not erase the enactment’s relevance to whether the alternative is concrete, lawful, and workable.</w:t>
      </w:r>
    </w:p>
    <w:p>
      <w:r>
        <w:rPr>
          <w:rFonts w:ascii="Century Schoolbook" w:hAnsi="Century Schoolbook"/>
          <w:b w:val="0"/>
          <w:i w:val="0"/>
          <w:smallCaps w:val="0"/>
          <w:sz w:val="21"/>
        </w:rPr>
        <w:t>State practice supplies a second objective source. A 1989 catalog of Georgia county governments reported that 76 of the State’s 159 counties had five commissioners, including 25 counties smaller than Bleckley County. Georgia Dept. of Community Affairs, County Government Information Catalog, Table 1.A (1989). The prevalence of that structure does not prove that Bleckley County’s system dilutes votes. It does show that the proposed size is a recognized form of county governance rather than a number selected to produce a particular racial composition.</w:t>
      </w:r>
    </w:p>
    <w:p>
      <w:r>
        <w:rPr>
          <w:rFonts w:ascii="Century Schoolbook" w:hAnsi="Century Schoolbook"/>
          <w:b w:val="0"/>
          <w:i w:val="0"/>
          <w:smallCaps w:val="0"/>
          <w:sz w:val="21"/>
        </w:rPr>
        <w:t xml:space="preserve">The county’s own governmental practice provides a third source. Bleckley County elects its five-member school board from single-member districts, and the District Court found that black voters constitute a majority in one of those districts. 757 F. Supp., at 1565, 1581; 955 F. 2d, at 1569. A county commission and a school board exercise different powers. The school-board arrangement therefore does not dictate the commission’s design. It demonstrates, however, that a five-district plan can be administered within the same county and supplies established district geography against which the first </w:t>
      </w:r>
      <w:r>
        <w:rPr>
          <w:rFonts w:ascii="Century Schoolbook" w:hAnsi="Century Schoolbook"/>
          <w:b w:val="0"/>
          <w:i/>
          <w:smallCaps w:val="0"/>
          <w:sz w:val="21"/>
        </w:rPr>
        <w:t>Gingles</w:t>
      </w:r>
      <w:r>
        <w:rPr>
          <w:rFonts w:ascii="Century Schoolbook" w:hAnsi="Century Schoolbook"/>
          <w:b w:val="0"/>
          <w:i w:val="0"/>
          <w:smallCaps w:val="0"/>
          <w:sz w:val="21"/>
        </w:rPr>
        <w:t xml:space="preserve"> inquiry can be tested.</w:t>
      </w:r>
    </w:p>
    <w:p>
      <w:r>
        <w:rPr>
          <w:rFonts w:ascii="Century Schoolbook" w:hAnsi="Century Schoolbook"/>
          <w:b w:val="0"/>
          <w:i w:val="0"/>
          <w:smallCaps w:val="0"/>
          <w:sz w:val="21"/>
        </w:rPr>
        <w:t>JUSTICE KENNEDY, joined by JUSTICE O’CONNOR, would hold that no benchmark for governing-body size can be objective because a court must choose among three, five, ten, or still more members. The premise identifies a necessary limit. Section 2 does not authorize courts to enlarge a governing body until a minority group achieves its best possible electoral outcome. It does not follow that every size comparator is judicially invented. The question at this stage is not whether five members are ideal or whether another number could also be supported. It is whether the proposed arrangement has objective grounding adequate to permit the statutory comparison. The state enactment, statewide governmental practice, and the county’s own district system answer that question here.</w:t>
      </w:r>
    </w:p>
    <w:p>
      <w:r>
        <w:rPr>
          <w:rFonts w:ascii="Century Schoolbook" w:hAnsi="Century Schoolbook"/>
          <w:b w:val="0"/>
          <w:i w:val="0"/>
          <w:smallCaps w:val="0"/>
          <w:sz w:val="21"/>
        </w:rPr>
        <w:t>This conclusion is confined to a governing authority for which such grounding exists. Tradition and practice ordinarily supply no multimember comparator for offices such as governor, mayor, sheriff, or clerk of court. The commissioner here exercises plenary legislative as well as executive authority, Ga. Code Ann. § 36-5-22.1 (1993), and the State has authorized this county to place a multimember substitute before its voters. A plaintiff who proposes twenty seats merely because one district then could be drawn has not identified an objective comparator. The rule permits adjudication of a supported claim; it does not make the federal courts designers of local government.</w:t>
      </w:r>
    </w:p>
    <w:p>
      <w:pPr>
        <w:keepNext/>
        <w:spacing w:before="140" w:after="80"/>
        <w:jc w:val="center"/>
      </w:pPr>
      <w:r>
        <w:rPr>
          <w:rFonts w:ascii="Century Schoolbook" w:hAnsi="Century Schoolbook"/>
          <w:b w:val="0"/>
          <w:i w:val="0"/>
          <w:smallCaps w:val="0"/>
          <w:sz w:val="21"/>
        </w:rPr>
        <w:t>III</w:t>
      </w:r>
    </w:p>
    <w:p>
      <w:r>
        <w:rPr>
          <w:rFonts w:ascii="Century Schoolbook" w:hAnsi="Century Schoolbook"/>
          <w:b w:val="0"/>
          <w:i w:val="0"/>
          <w:smallCaps w:val="0"/>
          <w:sz w:val="21"/>
        </w:rPr>
        <w:t xml:space="preserve">The comparator permits the § 2 inquiry to proceed. It does not complete that inquiry. The three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preconditions are generally necessary: the protected group must be sufficiently large and geographically compact to form a majority in a single-member district; it must be politically cohesive; and the majority must vote sufficiently as a bloc usually to defeat the minority’s preferred candidate. 478 U. S., at 50–51. Even their conjunction is not invariably sufficient. Section 2 requires the court to determine from the totality whether the challenged practice, operating in its social and historical setting, leaves protected voters with less opportunity to participate and elect representatives of their choice. See </w:t>
      </w:r>
      <w:r>
        <w:rPr>
          <w:rFonts w:ascii="Century Schoolbook" w:hAnsi="Century Schoolbook"/>
          <w:b w:val="0"/>
          <w:i/>
          <w:smallCaps w:val="0"/>
          <w:sz w:val="21"/>
        </w:rPr>
        <w:t>Johnson v. De Grandy</w:t>
      </w:r>
      <w:r>
        <w:rPr>
          <w:rFonts w:ascii="Century Schoolbook" w:hAnsi="Century Schoolbook"/>
          <w:b w:val="0"/>
          <w:i w:val="0"/>
          <w:smallCaps w:val="0"/>
          <w:sz w:val="21"/>
        </w:rPr>
        <w:t>, 512 U. S. 997, 1011–1012 (1994).</w:t>
      </w:r>
    </w:p>
    <w:p>
      <w:r>
        <w:rPr>
          <w:rFonts w:ascii="Century Schoolbook" w:hAnsi="Century Schoolbook"/>
          <w:b w:val="0"/>
          <w:i w:val="0"/>
          <w:smallCaps w:val="0"/>
          <w:sz w:val="21"/>
        </w:rPr>
        <w:t xml:space="preserve">Those requirements preserve the difference between a workable baseline and a statutory violation. The first asks whether the asserted dilution can be measured. The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preconditions ask whether the group has potential electoral strength, whether its voters act cohesively, and whether majority bloc voting usually defeats their choices. The totality inquiry then assesses equal electoral opportunity in practice. History of official discrimination, candidate access, electoral success, racial appeals, practices that enhance discrimination, socioeconomic effects on participation, responsiveness, and the reasons for the challenged practice may bear on that judgment. S. Rep. No. 97-417, pp. 28–29 (1982); </w:t>
      </w:r>
      <w:r>
        <w:rPr>
          <w:rFonts w:ascii="Century Schoolbook" w:hAnsi="Century Schoolbook"/>
          <w:b w:val="0"/>
          <w:i/>
          <w:smallCaps w:val="0"/>
          <w:sz w:val="21"/>
        </w:rPr>
        <w:t>Gingles</w:t>
      </w:r>
      <w:r>
        <w:rPr>
          <w:rFonts w:ascii="Century Schoolbook" w:hAnsi="Century Schoolbook"/>
          <w:b w:val="0"/>
          <w:i w:val="0"/>
          <w:smallCaps w:val="0"/>
          <w:sz w:val="21"/>
        </w:rPr>
        <w:t>, 478 U. S., at 44–46.</w:t>
      </w:r>
    </w:p>
    <w:p>
      <w:r>
        <w:rPr>
          <w:rFonts w:ascii="Century Schoolbook" w:hAnsi="Century Schoolbook"/>
          <w:b w:val="0"/>
          <w:i w:val="0"/>
          <w:smallCaps w:val="0"/>
          <w:sz w:val="21"/>
        </w:rPr>
        <w:t xml:space="preserve">The plaintiff bears the burden of persuasion throughout. Neither an objective comparator nor the three preconditions shifts that burden to the government. The statutory proviso forecloses treating the ability to draw a majority-minority district as an entitlement to have that district created. § 1973(b). And </w:t>
      </w:r>
      <w:r>
        <w:rPr>
          <w:rFonts w:ascii="Century Schoolbook" w:hAnsi="Century Schoolbook"/>
          <w:b w:val="0"/>
          <w:i/>
          <w:smallCaps w:val="0"/>
          <w:sz w:val="21"/>
        </w:rPr>
        <w:t>De Grandy</w:t>
      </w:r>
      <w:r>
        <w:rPr>
          <w:rFonts w:ascii="Century Schoolbook" w:hAnsi="Century Schoolbook"/>
          <w:b w:val="0"/>
          <w:i w:val="0"/>
          <w:smallCaps w:val="0"/>
          <w:sz w:val="21"/>
        </w:rPr>
        <w:t xml:space="preserve"> rejects the related proposition that § 2 requires the maximum number of majority-minority districts that can be drawn. 512 U. S., at 1016–1017. A supported alternative permits comparison; it is not a command to adopt the alternative and not proof that the existing structure denies equal opportunity.</w:t>
      </w:r>
    </w:p>
    <w:p>
      <w:r>
        <w:rPr>
          <w:rFonts w:ascii="Century Schoolbook" w:hAnsi="Century Schoolbook"/>
          <w:b w:val="0"/>
          <w:i w:val="0"/>
          <w:smallCaps w:val="0"/>
          <w:sz w:val="21"/>
        </w:rPr>
        <w:t xml:space="preserve">The Court of Appeals applied a different rule. After concluding that all three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preconditions were satisfied, it stated that, “[a]t a minimum,” those findings shifted the burden to petitioners to offer rebuttal evidence. 955 F. 2d, at 1573. It then treated the absence of meaningful rebuttal as a premise of its liability judgment. Ibid. Section 2 places no such burden on the governmental defendant. The question remains whether respondents have proved unequal opportunity under the totality, not whether petitioners have disproved it.</w:t>
      </w:r>
    </w:p>
    <w:p>
      <w:r>
        <w:rPr>
          <w:rFonts w:ascii="Century Schoolbook" w:hAnsi="Century Schoolbook"/>
          <w:b w:val="0"/>
          <w:i w:val="0"/>
          <w:smallCaps w:val="0"/>
          <w:sz w:val="21"/>
        </w:rPr>
        <w:t>The court did discuss the circumstances bearing on cohesion, bloc voting, and political participation. That does not make the burden error harmless. Evidence may perform different work at the comparator, precondition, and totality stages. A showing that a district can be drawn says nothing by itself about cohesion or white bloc voting. Evidence supporting a precondition does not necessarily establish the ultimate statutory conclusion. By proceeding from the preconditions to a shifted burden and then to liability, the Court of Appeals did not complete the totality inquiry under the allocation Congress prescribed.</w:t>
      </w:r>
    </w:p>
    <w:p>
      <w:r>
        <w:rPr>
          <w:rFonts w:ascii="Century Schoolbook" w:hAnsi="Century Schoolbook"/>
          <w:b w:val="0"/>
          <w:i w:val="0"/>
          <w:smallCaps w:val="0"/>
          <w:sz w:val="21"/>
        </w:rPr>
        <w:t xml:space="preserve">Nor may this Court supply the missing determination. The District Court found the evidence insufficient to establish cohesion and white bloc voting and, under the totality, found no dilution. 757 F. Supp., at 1575–1584. The Court of Appeals found those determinations clearly erroneous. 955 F. 2d, at 1570–1574. The ultimate finding of vote dilution and the subsidiary findings on which it rests are factual determinations governed by Rule 52(a), though an appellate court may correct a finding infected by legal error. </w:t>
      </w:r>
      <w:r>
        <w:rPr>
          <w:rFonts w:ascii="Century Schoolbook" w:hAnsi="Century Schoolbook"/>
          <w:b w:val="0"/>
          <w:i/>
          <w:smallCaps w:val="0"/>
          <w:sz w:val="21"/>
        </w:rPr>
        <w:t>Gingles</w:t>
      </w:r>
      <w:r>
        <w:rPr>
          <w:rFonts w:ascii="Century Schoolbook" w:hAnsi="Century Schoolbook"/>
          <w:b w:val="0"/>
          <w:i w:val="0"/>
          <w:smallCaps w:val="0"/>
          <w:sz w:val="21"/>
        </w:rPr>
        <w:t>, 478 U. S., at 78–79. The disputed evidence and the error in the appellate court’s governing rule do not permit us to choose between the competing factual conclusions in the first instance.</w:t>
      </w:r>
    </w:p>
    <w:p>
      <w:r>
        <w:rPr>
          <w:rFonts w:ascii="Century Schoolbook" w:hAnsi="Century Schoolbook"/>
          <w:b w:val="0"/>
          <w:i w:val="0"/>
          <w:smallCaps w:val="0"/>
          <w:sz w:val="21"/>
        </w:rPr>
        <w:t xml:space="preserve">On remand, the five-district comparator is sufficient. Respondents nevertheless retain the burden to establish each </w:t>
      </w:r>
      <w:r>
        <w:rPr>
          <w:rFonts w:ascii="Century Schoolbook" w:hAnsi="Century Schoolbook"/>
          <w:b w:val="0"/>
          <w:i/>
          <w:smallCaps w:val="0"/>
          <w:sz w:val="21"/>
        </w:rPr>
        <w:t>Gingles</w:t>
      </w:r>
      <w:r>
        <w:rPr>
          <w:rFonts w:ascii="Century Schoolbook" w:hAnsi="Century Schoolbook"/>
          <w:b w:val="0"/>
          <w:i w:val="0"/>
          <w:smallCaps w:val="0"/>
          <w:sz w:val="21"/>
        </w:rPr>
        <w:t xml:space="preserve"> precondition and liability under the statutory totality. The reviewing court must keep those inquiries distinct, apply Rule 52(a) to the District Court’s findings, and determine whether further proceedings in that court are required. It may consider the absence of a black candidate for the sole-commissioner office together with other competent evidence; it may not presume cohesion, bloc voting, or unequal opportunity from that absence. It must give the history and present operation of the electoral process the weight the record and § 2 permit, without making proportional representation the measure of liability.</w:t>
      </w:r>
    </w:p>
    <w:p>
      <w:r>
        <w:rPr>
          <w:rFonts w:ascii="Century Schoolbook" w:hAnsi="Century Schoolbook"/>
          <w:b w:val="0"/>
          <w:i w:val="0"/>
          <w:smallCaps w:val="0"/>
          <w:sz w:val="21"/>
        </w:rPr>
        <w:t>We do not decide whether Bleckley County’s present structure violates § 2. We do not decide whether it complies with § 2. The Court of Appeals did not pass upon the District Court’s disposition of respondents’ constitutional claim, and that question is not before us. The judgment of the Court of Appeals is vacated, and the case is remanded for further proceedings consistent with this opinion.</w:t>
      </w:r>
    </w:p>
    <w:p>
      <w:pPr>
        <w:spacing w:before="160" w:after="0"/>
        <w:jc w:val="right"/>
      </w:pPr>
      <w:r>
        <w:rPr>
          <w:rFonts w:ascii="Century Schoolbook" w:hAnsi="Century Schoolbook"/>
          <w:b w:val="0"/>
          <w:i/>
          <w:smallCaps w:val="0"/>
          <w:sz w:val="21"/>
        </w:rPr>
        <w:t>It is so ordered.</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37" w:right="1267" w:bottom="1037" w:left="126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entury Schoolbook" w:hAnsi="Century Schoolbook"/>
        <w:b/>
        <w:i w:val="0"/>
        <w:smallCaps w:val="0"/>
        <w:sz w:val="16"/>
      </w:rPr>
      <w:t>OCTOBER TERM, 1993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entury Schoolbook" w:hAnsi="Century Schoolbook"/>
        <w:b/>
        <w:i w:val="0"/>
        <w:smallCaps w:val="0"/>
        <w:sz w:val="16"/>
      </w:rPr>
      <w:t>OCTOBER TERM, 1993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entury Schoolbook" w:hAnsi="Century Schoolbook"/>
        <w:b/>
        <w:i w:val="0"/>
        <w:smallCaps w:val="0"/>
        <w:sz w:val="16"/>
      </w:rPr>
      <w:t>OCTOBER TERM, 1993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before="0" w:after="80"/>
      <w:ind w:firstLine="360"/>
      <w:jc w:val="both"/>
    </w:pPr>
    <w:rPr>
      <w:rFonts w:ascii="Century Schoolbook" w:hAnsi="Century Schoolbook"/>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Holder v. Hall — Simulated Opinion of the Court</dc:title>
  <dc:subject>October Term 1993 simulated Supreme Court opinion</dc:subject>
  <dc:creator>Chief Justice Alex-Lamar Stone-Zsela (simulation)</dc:creator>
  <cp:keywords>Voting Rights Act; Section 2; comparator; vote dilution</cp:keywords>
  <dc:description>generated by python-docx</dc:description>
  <cp:lastModifiedBy/>
  <cp:revision>1</cp:revision>
  <dcterms:created xsi:type="dcterms:W3CDTF">2013-12-23T23:15:00Z</dcterms:created>
  <dcterms:modified xsi:type="dcterms:W3CDTF">2013-12-23T23:15:00Z</dcterms:modified>
  <cp:category/>
</cp:coreProperties>
</file>