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yllabusSmall"/>
        <w:keepNext w:val="0"/>
        <w:keepLines/>
        <w:spacing w:after="216"/>
        <w:ind w:firstLine="0"/>
      </w:pPr>
      <w:r>
        <w:rPr>
          <w:rFonts w:ascii="New Century Schoolbook" w:hAnsi="New Century Schoolbook" w:eastAsia="New Century Schoolbook" w:cs="New Century Schoolbook"/>
          <w:b w:val="0"/>
          <w:i w:val="0"/>
          <w:color w:val="000000"/>
          <w:sz w:val="14"/>
        </w:rPr>
        <w:t xml:space="preserve">NOTE: Where it is feasible, a syllabus (headnote) will be released, as is being done in connection with this case, at the time the opinion is issued. The syllabus constitutes no part of the opinion of the Court but has been prepared by the Reporter of Decisions for the convenience of the reader. See </w:t>
      </w:r>
      <w:r>
        <w:rPr>
          <w:rFonts w:ascii="New Century Schoolbook" w:hAnsi="New Century Schoolbook" w:eastAsia="New Century Schoolbook" w:cs="New Century Schoolbook"/>
          <w:b w:val="0"/>
          <w:i/>
          <w:color w:val="000000"/>
          <w:sz w:val="14"/>
        </w:rPr>
        <w:t>United States</w:t>
      </w:r>
      <w:r>
        <w:rPr>
          <w:rFonts w:ascii="New Century Schoolbook" w:hAnsi="New Century Schoolbook" w:eastAsia="New Century Schoolbook" w:cs="New Century Schoolbook"/>
          <w:b w:val="0"/>
          <w:i w:val="0"/>
          <w:color w:val="000000"/>
          <w:sz w:val="14"/>
        </w:rPr>
        <w:t xml:space="preserve"> v. </w:t>
      </w:r>
      <w:r>
        <w:rPr>
          <w:rFonts w:ascii="New Century Schoolbook" w:hAnsi="New Century Schoolbook" w:eastAsia="New Century Schoolbook" w:cs="New Century Schoolbook"/>
          <w:b w:val="0"/>
          <w:i/>
          <w:color w:val="000000"/>
          <w:sz w:val="14"/>
        </w:rPr>
        <w:t>Detroit Timber &amp; Lumber Co.</w:t>
      </w:r>
      <w:r>
        <w:rPr>
          <w:rFonts w:ascii="New Century Schoolbook" w:hAnsi="New Century Schoolbook" w:eastAsia="New Century Schoolbook" w:cs="New Century Schoolbook"/>
          <w:b w:val="0"/>
          <w:i w:val="0"/>
          <w:color w:val="000000"/>
          <w:sz w:val="14"/>
        </w:rPr>
        <w:t>, 200 U. S. 321, 337.</w:t>
      </w:r>
    </w:p>
    <w:p>
      <w:pPr>
        <w:pStyle w:val="CourtName"/>
        <w:keepNext/>
      </w:pPr>
      <w:r>
        <w:rPr>
          <w:rFonts w:ascii="Times New Roman" w:hAnsi="Times New Roman" w:eastAsia="Times New Roman" w:cs="Times New Roman"/>
          <w:b/>
          <w:i w:val="0"/>
          <w:color w:val="000000"/>
          <w:sz w:val="27"/>
        </w:rPr>
        <w:t>SUPREME COURT OF THE UNITED STATES</w:t>
      </w:r>
    </w:p>
    <w:p>
      <w:pPr>
        <w:pStyle w:val="Jurisdiction"/>
        <w:keepNext/>
      </w:pPr>
      <w:r>
        <w:rPr>
          <w:rFonts w:ascii="New Century Schoolbook" w:hAnsi="New Century Schoolbook" w:eastAsia="New Century Schoolbook" w:cs="New Century Schoolbook"/>
          <w:b w:val="0"/>
          <w:i w:val="0"/>
          <w:color w:val="000000"/>
          <w:sz w:val="18"/>
        </w:rPr>
        <w:t>Syllabus</w:t>
      </w:r>
    </w:p>
    <w:p>
      <w:pPr>
        <w:pStyle w:val="Caption"/>
        <w:keepNext/>
        <w:jc w:val="center"/>
      </w:pPr>
      <w:r>
        <w:rPr>
          <w:rFonts w:ascii="New Century Schoolbook" w:hAnsi="New Century Schoolbook" w:eastAsia="New Century Schoolbook" w:cs="New Century Schoolbook"/>
          <w:b w:val="0"/>
          <w:i w:val="0"/>
          <w:color w:val="000000"/>
          <w:sz w:val="22"/>
          <w:smallCaps w:val="1"/>
        </w:rPr>
        <w:t xml:space="preserve">Madsen et al. </w:t>
      </w:r>
      <w:r>
        <w:rPr>
          <w:rFonts w:ascii="New Century Schoolbook" w:hAnsi="New Century Schoolbook" w:eastAsia="New Century Schoolbook" w:cs="New Century Schoolbook"/>
          <w:b w:val="0"/>
          <w:i/>
          <w:color w:val="000000"/>
          <w:sz w:val="22"/>
        </w:rPr>
        <w:t>v.</w:t>
      </w:r>
      <w:r>
        <w:rPr>
          <w:rFonts w:ascii="New Century Schoolbook" w:hAnsi="New Century Schoolbook" w:eastAsia="New Century Schoolbook" w:cs="New Century Schoolbook"/>
          <w:b w:val="0"/>
          <w:i w:val="0"/>
          <w:color w:val="000000"/>
          <w:sz w:val="22"/>
          <w:smallCaps w:val="1"/>
        </w:rPr>
        <w:t xml:space="preserve"> Women’s Health Center,</w:t>
      </w:r>
    </w:p>
    <w:p>
      <w:pPr>
        <w:pStyle w:val="Caption"/>
        <w:keepNext/>
        <w:jc w:val="center"/>
      </w:pPr>
      <w:r>
        <w:rPr>
          <w:rFonts w:ascii="New Century Schoolbook" w:hAnsi="New Century Schoolbook" w:eastAsia="New Century Schoolbook" w:cs="New Century Schoolbook"/>
          <w:b w:val="0"/>
          <w:i w:val="0"/>
          <w:color w:val="000000"/>
          <w:sz w:val="22"/>
          <w:smallCaps w:val="1"/>
        </w:rPr>
        <w:t>Inc., et al.</w:t>
      </w:r>
    </w:p>
    <w:p>
      <w:pPr>
        <w:pStyle w:val="Jurisdiction"/>
        <w:keepNext/>
        <w:jc w:val="center"/>
      </w:pPr>
      <w:r>
        <w:rPr>
          <w:rFonts w:ascii="New Century Schoolbook" w:hAnsi="New Century Schoolbook" w:eastAsia="New Century Schoolbook" w:cs="New Century Schoolbook"/>
          <w:b w:val="0"/>
          <w:i w:val="0"/>
          <w:color w:val="000000"/>
          <w:sz w:val="18"/>
          <w:smallCaps w:val="1"/>
        </w:rPr>
        <w:t>Certiorari To The Supreme Court Of Florida</w:t>
      </w:r>
    </w:p>
    <w:p>
      <w:pPr>
        <w:pStyle w:val="Jurisdiction"/>
        <w:keepNext/>
        <w:spacing w:after="216"/>
      </w:pPr>
      <w:r>
        <w:rPr>
          <w:rFonts w:ascii="New Century Schoolbook" w:hAnsi="New Century Schoolbook" w:eastAsia="New Century Schoolbook" w:cs="New Century Schoolbook"/>
          <w:b w:val="0"/>
          <w:i w:val="0"/>
          <w:color w:val="000000"/>
          <w:sz w:val="18"/>
        </w:rPr>
        <w:t>No. 93–880. Argued April 28, 1994—Decided June 30, 1994</w:t>
      </w:r>
    </w:p>
    <w:p>
      <w:pPr>
        <w:pStyle w:val="SyllabusBody"/>
        <w:keepNext w:val="0"/>
        <w:keepLines w:val="0"/>
      </w:pPr>
      <w:r>
        <w:rPr>
          <w:rFonts w:ascii="New Century Schoolbook" w:hAnsi="New Century Schoolbook" w:eastAsia="New Century Schoolbook" w:cs="New Century Schoolbook"/>
          <w:b w:val="0"/>
          <w:i w:val="0"/>
          <w:color w:val="000000"/>
          <w:sz w:val="18"/>
        </w:rPr>
        <w:t>A Florida court first enjoined petitioners from trespassing on respondents’ clinic property, blocking or interfering with access, physically abusing or threatening persons entering or leaving, and directing others to commit those acts. After a three-day hearing on a motion for sanctions and broader relief, the court found continued interference on the 21-foot public street and at the clinic’s two driveways, disruptive noise during medical procedures and recovery, intrusive conduct near the north and west property lines, unwelcome pursuit of patients and staff, and demonstrations at employees’ homes. It entered an amended injunction directed to the named parties and persons acting in concert or participation with them. The order included a 36-foot clinic zone, procedure-time restrictions on sounds audible within and images observable by patients inside the clinic, a 300-foot no-approach provision, and a 300-foot residential zone. The Supreme Court of Florida upheld the order. 626 So. 2d 664.</w:t>
      </w:r>
    </w:p>
    <w:p>
      <w:pPr>
        <w:pStyle w:val="SyllabusBody"/>
        <w:keepNext/>
        <w:spacing w:before="216"/>
        <w:ind w:firstLine="0"/>
      </w:pPr>
      <w:r>
        <w:rPr>
          <w:rFonts w:ascii="New Century Schoolbook" w:hAnsi="New Century Schoolbook" w:eastAsia="New Century Schoolbook" w:cs="New Century Schoolbook"/>
          <w:b w:val="0"/>
          <w:i/>
          <w:color w:val="000000"/>
          <w:sz w:val="18"/>
        </w:rPr>
        <w:t>Held:</w:t>
      </w:r>
    </w:p>
    <w:p>
      <w:pPr>
        <w:pStyle w:val="SyllabusHolding"/>
        <w:keepNext w:val="0"/>
        <w:keepLines w:val="0"/>
        <w:ind w:firstLine="0"/>
        <w:numPr>
          <w:ilvl w:val="0"/>
          <w:numId w:val="10"/>
        </w:numPr>
      </w:pPr>
      <w:r>
        <w:rPr>
          <w:rFonts w:ascii="New Century Schoolbook" w:hAnsi="New Century Schoolbook" w:eastAsia="New Century Schoolbook" w:cs="New Century Schoolbook"/>
          <w:b w:val="0"/>
          <w:i w:val="0"/>
          <w:color w:val="000000"/>
          <w:sz w:val="18"/>
        </w:rPr>
        <w:t>The injunction is not content or viewpoint based merely because it binds identified antiabortion protesters. The issuing court selected parties because of adjudicated conduct, and the challenged terms address access, traffic, noise, personal security, and residential privacy rather than disagreement with petitioners’ position. A party-specific order enforced by contempt nevertheless demands greater precision than a generally applicable time, place, and manner rule. Each operative command must be connected to demonstrated unlawful conduct and must burden no more speech than necessary to afford complete lawful protection. That requirement demands a pinpointed equitable fit to the proved harm; it does not require discovery of the single least restrictive phrasing imaginable.</w:t>
      </w:r>
    </w:p>
    <w:p>
      <w:pPr>
        <w:pStyle w:val="SyllabusHolding"/>
        <w:keepNext w:val="0"/>
        <w:keepLines w:val="0"/>
        <w:ind w:firstLine="0"/>
        <w:numPr>
          <w:ilvl w:val="0"/>
          <w:numId w:val="10"/>
        </w:numPr>
      </w:pPr>
      <w:r>
        <w:rPr>
          <w:rFonts w:ascii="New Century Schoolbook" w:hAnsi="New Century Schoolbook" w:eastAsia="New Century Schoolbook" w:cs="New Century Schoolbook"/>
          <w:b w:val="0"/>
          <w:i w:val="0"/>
          <w:color w:val="000000"/>
          <w:sz w:val="18"/>
        </w:rPr>
        <w:t>The entrance-and-driveway application of the 36-foot zone is sustainable. The findings concern recurring interference where clinic-bound vehicles crossed Dixie Way and the parking-lot entrances. The earlier conduct-only decree did not secure access, and the boundary still permits direct visual and oral communication from across the narrow street. Failure of a narrower decree is critical evidence of necessity here, but it is not an absolute constitutional prerequisite to every buffer: direct proof of imminent violence or complete physical blockage may justify a fitted boundary in the first instance. This case involves repeated interference at the same two driveways after a conduct-only command had failed there. The extension over adjoining private property fails because the findings there support regulation of threats, intrusive noise, and harassment, not exclusion of all expression from the land.</w:t>
      </w:r>
    </w:p>
    <w:p>
      <w:pPr>
        <w:pStyle w:val="SyllabusHolding"/>
        <w:keepNext w:val="0"/>
        <w:keepLines w:val="0"/>
        <w:ind w:firstLine="0"/>
        <w:numPr>
          <w:ilvl w:val="0"/>
          <w:numId w:val="10"/>
        </w:numPr>
      </w:pPr>
      <w:r>
        <w:rPr>
          <w:rFonts w:ascii="New Century Schoolbook" w:hAnsi="New Century Schoolbook" w:eastAsia="New Century Schoolbook" w:cs="New Century Schoolbook"/>
          <w:b w:val="0"/>
          <w:i w:val="0"/>
          <w:color w:val="000000"/>
          <w:sz w:val="18"/>
        </w:rPr>
        <w:t>The procedure-time noise provision is supported by findings that sounds from the demonstrations penetrated the clinic and caused stress during surgery and recovery. It is confined by hours, place, and effect. The blanket prohibition on every image observable by patients inside cannot stand. Emotional distress caused by what a placard communicates is listener reaction, not an independent harmful effect that permits suppression of the message. Threats and signs used to obstruct or harass may be restrained; all visible political expression may not.</w:t>
      </w:r>
    </w:p>
    <w:p>
      <w:pPr>
        <w:pStyle w:val="SyllabusHolding"/>
        <w:keepNext w:val="0"/>
        <w:keepLines w:val="0"/>
        <w:ind w:firstLine="0"/>
        <w:numPr>
          <w:ilvl w:val="0"/>
          <w:numId w:val="10"/>
        </w:numPr>
      </w:pPr>
      <w:r>
        <w:rPr>
          <w:rFonts w:ascii="New Century Schoolbook" w:hAnsi="New Century Schoolbook" w:eastAsia="New Century Schoolbook" w:cs="New Century Schoolbook"/>
          <w:b w:val="0"/>
          <w:i w:val="0"/>
          <w:color w:val="000000"/>
          <w:sz w:val="18"/>
        </w:rPr>
        <w:t>The 300-foot no-approach term and 300-foot residential zone are excessive. The record permits restraints on threats, crowding, touching, obstruction, stalking, persistent pursuit after refusal, excessive sound, and focused residential picketing. It does not show that every peaceful approach in a public forum requires advance invitation or that all listed expression must be excluded from every street and property within 300 feet of an employee’s home.</w:t>
      </w:r>
    </w:p>
    <w:p>
      <w:pPr>
        <w:pStyle w:val="SyllabusHolding"/>
        <w:keepNext w:val="0"/>
        <w:keepLines w:val="0"/>
        <w:ind w:firstLine="0"/>
        <w:numPr>
          <w:ilvl w:val="0"/>
          <w:numId w:val="10"/>
        </w:numPr>
      </w:pPr>
      <w:r>
        <w:rPr>
          <w:rFonts w:ascii="New Century Schoolbook" w:hAnsi="New Century Schoolbook" w:eastAsia="New Century Schoolbook" w:cs="New Century Schoolbook"/>
          <w:b w:val="0"/>
          <w:i w:val="0"/>
          <w:color w:val="000000"/>
          <w:sz w:val="18"/>
        </w:rPr>
        <w:t>The numbered commands address distinct places and acts, and the access and procedure-time noise terms answer independent injuries on this record. Section 2106 permits provision-specific affirmance, vacatur, and remand. The decree remains a Florida instrument: this Court identifies the federal limits and leaves the issuing court to enter conforming text. It does not draft Florida’s next paragraph.</w:t>
      </w:r>
    </w:p>
    <w:p>
      <w:pPr>
        <w:pStyle w:val="SyllabusHolding"/>
        <w:keepNext w:val="0"/>
        <w:keepLines w:val="0"/>
        <w:ind w:firstLine="0"/>
        <w:numPr>
          <w:ilvl w:val="0"/>
          <w:numId w:val="10"/>
        </w:numPr>
      </w:pPr>
      <w:r>
        <w:rPr>
          <w:rFonts w:ascii="New Century Schoolbook" w:hAnsi="New Century Schoolbook" w:eastAsia="New Century Schoolbook" w:cs="New Century Schoolbook"/>
          <w:b w:val="0"/>
          <w:i w:val="0"/>
          <w:color w:val="000000"/>
          <w:sz w:val="18"/>
        </w:rPr>
        <w:t>Petitioners may not obtain an advisory adjudication of absent persons’ contempt liability, and the active-concert phrase is not an overbreadth vehicle. They may challenge an unbounded construction insofar as it chills their own lawful association. Florida Rule of Civil Procedure 1.610(c) is therefore construed to reach a nonparty only upon proof of actual notice and active coordination with a named party in violating a surviving command. Common belief, organizational affiliation, presence, or parallel advocacy is insufficient. The party invoking civil contempt bears the burden of proving notice, concert, and violation by clear and convincing evidence. Independence is the baseline, not an affirmative defense.</w:t>
      </w:r>
    </w:p>
    <w:p>
      <w:pPr>
        <w:pStyle w:val="SyllabusBody"/>
        <w:keepNext/>
        <w:keepLines w:val="0"/>
        <w:spacing w:before="216"/>
        <w:ind w:firstLine="0"/>
      </w:pPr>
      <w:r>
        <w:rPr>
          <w:rFonts w:ascii="New Century Schoolbook" w:hAnsi="New Century Schoolbook" w:eastAsia="New Century Schoolbook" w:cs="New Century Schoolbook"/>
          <w:b w:val="0"/>
          <w:i w:val="0"/>
          <w:color w:val="000000"/>
          <w:sz w:val="18"/>
        </w:rPr>
        <w:t>626 So. 2d 664, affirmed in part, vacated in part, and remanded.</w:t>
      </w:r>
    </w:p>
    <w:p>
      <w:pPr>
        <w:pStyle w:val="SyllabusBody"/>
        <w:keepLines/>
        <w:ind w:firstLine="0"/>
      </w:pPr>
      <w:r>
        <w:rPr>
          <w:rFonts w:ascii="New Century Schoolbook" w:hAnsi="New Century Schoolbook" w:eastAsia="New Century Schoolbook" w:cs="New Century Schoolbook"/>
          <w:b w:val="0"/>
          <w:i w:val="0"/>
          <w:color w:val="000000"/>
          <w:sz w:val="18"/>
          <w:smallCaps w:val="1"/>
        </w:rPr>
        <w:t>Stone-Zsela, C. J.,</w:t>
      </w:r>
      <w:r>
        <w:rPr>
          <w:rFonts w:ascii="New Century Schoolbook" w:hAnsi="New Century Schoolbook" w:eastAsia="New Century Schoolbook" w:cs="New Century Schoolbook"/>
          <w:b w:val="0"/>
          <w:i w:val="0"/>
          <w:color w:val="000000"/>
          <w:sz w:val="18"/>
        </w:rPr>
        <w:t xml:space="preserve"> delivered the opinion of the Court, in which </w:t>
      </w:r>
      <w:r>
        <w:rPr>
          <w:rFonts w:ascii="New Century Schoolbook" w:hAnsi="New Century Schoolbook" w:eastAsia="New Century Schoolbook" w:cs="New Century Schoolbook"/>
          <w:b w:val="0"/>
          <w:i w:val="0"/>
          <w:color w:val="000000"/>
          <w:sz w:val="18"/>
          <w:smallCaps w:val="1"/>
        </w:rPr>
        <w:t>Blackmun, O’Connor, Souter, and Ginsburg, JJ.,</w:t>
      </w:r>
      <w:r>
        <w:rPr>
          <w:rFonts w:ascii="New Century Schoolbook" w:hAnsi="New Century Schoolbook" w:eastAsia="New Century Schoolbook" w:cs="New Century Schoolbook"/>
          <w:b w:val="0"/>
          <w:i w:val="0"/>
          <w:color w:val="000000"/>
          <w:sz w:val="18"/>
        </w:rPr>
        <w:t xml:space="preserve"> joined. </w:t>
      </w:r>
      <w:r>
        <w:rPr>
          <w:rFonts w:ascii="New Century Schoolbook" w:hAnsi="New Century Schoolbook" w:eastAsia="New Century Schoolbook" w:cs="New Century Schoolbook"/>
          <w:b w:val="0"/>
          <w:i w:val="0"/>
          <w:color w:val="000000"/>
          <w:sz w:val="18"/>
          <w:smallCaps w:val="1"/>
        </w:rPr>
        <w:t>Stevens, J.,</w:t>
      </w:r>
      <w:r>
        <w:rPr>
          <w:rFonts w:ascii="New Century Schoolbook" w:hAnsi="New Century Schoolbook" w:eastAsia="New Century Schoolbook" w:cs="New Century Schoolbook"/>
          <w:b w:val="0"/>
          <w:i w:val="0"/>
          <w:color w:val="000000"/>
          <w:sz w:val="18"/>
        </w:rPr>
        <w:t xml:space="preserve"> joined Parts I, II, III-E, and IV.</w:t>
      </w:r>
    </w:p>
    <w:p>
      <w:pPr>
        <w:sectPr>
          <w:headerReference w:type="first" r:id="rId9"/>
          <w:headerReference w:type="default" r:id="rId10"/>
          <w:headerReference w:type="even" r:id="rId11"/>
          <w:footerReference w:type="first" r:id="rId12"/>
          <w:footerReference w:type="default" r:id="rId13"/>
          <w:footerReference w:type="even" r:id="rId14"/>
          <w:pgSz w:w="12240" w:h="15840"/>
          <w:pgMar w:top="3096" w:right="3096" w:bottom="2664" w:left="3096" w:header="2059" w:footer="792" w:gutter="0"/>
          <w:cols w:space="720"/>
          <w:titlePg/>
          <w:docGrid w:linePitch="360"/>
          <w:pgNumType w:start="1"/>
        </w:sectPr>
      </w:pPr>
    </w:p>
    <w:p>
      <w:pPr>
        <w:pStyle w:val="SyllabusSmall"/>
        <w:keepNext w:val="0"/>
        <w:keepLines/>
        <w:spacing w:after="216"/>
        <w:ind w:firstLine="0"/>
      </w:pPr>
      <w:r>
        <w:rPr>
          <w:rFonts w:ascii="New Century Schoolbook" w:hAnsi="New Century Schoolbook" w:eastAsia="New Century Schoolbook" w:cs="New Century Schoolbook"/>
          <w:b w:val="0"/>
          <w:i w:val="0"/>
          <w:color w:val="000000"/>
          <w:sz w:val="14"/>
        </w:rPr>
        <w:t>NOTICE: This opinion is subject to formal revision before publication in the United States Reports. Readers are requested to notify the Reporter of Decisions, Supreme Court of the United States, Washington, D. C. 20543, of any typographical or other formal errors.</w:t>
      </w:r>
    </w:p>
    <w:p>
      <w:pPr>
        <w:pStyle w:val="CourtName"/>
        <w:keepNext/>
      </w:pPr>
      <w:r>
        <w:rPr>
          <w:rFonts w:ascii="Times New Roman" w:hAnsi="Times New Roman" w:eastAsia="Times New Roman" w:cs="Times New Roman"/>
          <w:b/>
          <w:i w:val="0"/>
          <w:color w:val="000000"/>
          <w:sz w:val="27"/>
        </w:rPr>
        <w:t>SUPREME COURT OF THE UNITED STATES</w:t>
      </w:r>
    </w:p>
    <w:p>
      <w:pPr>
        <w:pStyle w:val="Jurisdiction"/>
        <w:keepNext/>
        <w:spacing w:after="80"/>
      </w:pPr>
      <w:r>
        <w:rPr>
          <w:rFonts w:ascii="New Century Schoolbook" w:hAnsi="New Century Schoolbook" w:eastAsia="New Century Schoolbook" w:cs="New Century Schoolbook"/>
          <w:b w:val="0"/>
          <w:i w:val="0"/>
          <w:color w:val="000000"/>
          <w:sz w:val="18"/>
        </w:rPr>
        <w:t>———  No. 93–880  ———</w:t>
      </w:r>
    </w:p>
    <w:p>
      <w:pPr>
        <w:pStyle w:val="Caption"/>
        <w:keepNext/>
        <w:jc w:val="center"/>
      </w:pPr>
      <w:r>
        <w:rPr>
          <w:rFonts w:ascii="New Century Schoolbook" w:hAnsi="New Century Schoolbook" w:eastAsia="New Century Schoolbook" w:cs="New Century Schoolbook"/>
          <w:b w:val="0"/>
          <w:i w:val="0"/>
          <w:color w:val="000000"/>
          <w:sz w:val="22"/>
          <w:smallCaps w:val="1"/>
        </w:rPr>
        <w:t xml:space="preserve">Madsen et al. </w:t>
      </w:r>
      <w:r>
        <w:rPr>
          <w:rFonts w:ascii="New Century Schoolbook" w:hAnsi="New Century Schoolbook" w:eastAsia="New Century Schoolbook" w:cs="New Century Schoolbook"/>
          <w:b w:val="0"/>
          <w:i/>
          <w:color w:val="000000"/>
          <w:sz w:val="22"/>
        </w:rPr>
        <w:t>v.</w:t>
      </w:r>
      <w:r>
        <w:rPr>
          <w:rFonts w:ascii="New Century Schoolbook" w:hAnsi="New Century Schoolbook" w:eastAsia="New Century Schoolbook" w:cs="New Century Schoolbook"/>
          <w:b w:val="0"/>
          <w:i w:val="0"/>
          <w:color w:val="000000"/>
          <w:sz w:val="22"/>
          <w:smallCaps w:val="1"/>
        </w:rPr>
        <w:t xml:space="preserve"> Women’s Health Center,</w:t>
      </w:r>
    </w:p>
    <w:p>
      <w:pPr>
        <w:pStyle w:val="Caption"/>
        <w:keepNext/>
        <w:jc w:val="center"/>
      </w:pPr>
      <w:r>
        <w:rPr>
          <w:rFonts w:ascii="New Century Schoolbook" w:hAnsi="New Century Schoolbook" w:eastAsia="New Century Schoolbook" w:cs="New Century Schoolbook"/>
          <w:b w:val="0"/>
          <w:i w:val="0"/>
          <w:color w:val="000000"/>
          <w:sz w:val="22"/>
          <w:smallCaps w:val="1"/>
        </w:rPr>
        <w:t>Inc., et al.</w:t>
      </w:r>
    </w:p>
    <w:p>
      <w:pPr>
        <w:pStyle w:val="Jurisdiction"/>
        <w:keepNext/>
        <w:jc w:val="center"/>
      </w:pPr>
      <w:r>
        <w:rPr>
          <w:rFonts w:ascii="New Century Schoolbook" w:hAnsi="New Century Schoolbook" w:eastAsia="New Century Schoolbook" w:cs="New Century Schoolbook"/>
          <w:b w:val="0"/>
          <w:i w:val="0"/>
          <w:color w:val="000000"/>
          <w:sz w:val="18"/>
          <w:smallCaps w:val="1"/>
        </w:rPr>
        <w:t>On Writ Of Certiorari To The Supreme Court Of Florida</w:t>
      </w:r>
    </w:p>
    <w:p>
      <w:pPr>
        <w:pStyle w:val="Jurisdiction"/>
        <w:keepNext/>
        <w:spacing w:after="264"/>
      </w:pPr>
      <w:r>
        <w:rPr>
          <w:rFonts w:ascii="New Century Schoolbook" w:hAnsi="New Century Schoolbook" w:eastAsia="New Century Schoolbook" w:cs="New Century Schoolbook"/>
          <w:b w:val="0"/>
          <w:i w:val="0"/>
          <w:color w:val="000000"/>
          <w:sz w:val="18"/>
        </w:rPr>
        <w:t>[June 30, 1994]</w:t>
      </w:r>
    </w:p>
    <w:p>
      <w:pPr>
        <w:pStyle w:val="DeliveryLine"/>
      </w:pPr>
      <w:r>
        <w:rPr>
          <w:rFonts w:ascii="New Century Schoolbook" w:hAnsi="New Century Schoolbook" w:eastAsia="New Century Schoolbook" w:cs="New Century Schoolbook"/>
          <w:b w:val="0"/>
          <w:i w:val="0"/>
          <w:color w:val="000000"/>
          <w:sz w:val="22"/>
          <w:smallCaps w:val="1"/>
        </w:rPr>
        <w:t>Chief Justice Stone-Zsela</w:t>
      </w:r>
      <w:r>
        <w:rPr>
          <w:rFonts w:ascii="New Century Schoolbook" w:hAnsi="New Century Schoolbook" w:eastAsia="New Century Schoolbook" w:cs="New Century Schoolbook"/>
          <w:b w:val="0"/>
          <w:i w:val="0"/>
          <w:color w:val="000000"/>
          <w:sz w:val="22"/>
        </w:rPr>
        <w:t xml:space="preserve"> delivered the opinion of the Court.</w:t>
      </w:r>
    </w:p>
    <w:p>
      <w:pPr>
        <w:pStyle w:val="OpinionBody"/>
        <w:keepNext w:val="0"/>
        <w:keepLines w:val="0"/>
      </w:pPr>
      <w:r>
        <w:rPr>
          <w:rFonts w:ascii="New Century Schoolbook" w:hAnsi="New Century Schoolbook" w:eastAsia="New Century Schoolbook" w:cs="New Century Schoolbook"/>
          <w:b w:val="0"/>
          <w:i w:val="0"/>
          <w:color w:val="000000"/>
          <w:sz w:val="22"/>
        </w:rPr>
        <w:t>This case concerns a judicial injunction restricting expression on public streets and sidewalks surrounding a health clinic. The Florida court entered the order after finding that an earlier decree had not secured access and that continuing demonstrations caused additional injuries. Those findings permit effective relief. They do not permit a court to suppress lawful advocacy wherever the speakers happen to be the persons who previously disobeyed. The question is one of fit: which commands answer the violations proved, and which transfer to protected expression the sanction properly directed at unlawful conduct.</w:t>
      </w:r>
    </w:p>
    <w:p>
      <w:pPr>
        <w:pStyle w:val="OpinionBody"/>
        <w:keepNext w:val="0"/>
        <w:keepLines w:val="0"/>
      </w:pPr>
      <w:r>
        <w:rPr>
          <w:rFonts w:ascii="New Century Schoolbook" w:hAnsi="New Century Schoolbook" w:eastAsia="New Century Schoolbook" w:cs="New Century Schoolbook"/>
          <w:b w:val="0"/>
          <w:i w:val="0"/>
          <w:color w:val="000000"/>
          <w:sz w:val="22"/>
        </w:rPr>
        <w:t>We hold that the entrance-and-driveway application of the 36-foot zone and the procedure-time noise provision may remain. The extension over adjoining private property, the blanket images clause, the 300-foot no-approach provision, and the 300-foot residential zone may not. We also construe the active-concert language to reach only persons whose actual notice and concerted participation are proved under the settled law of injunctions. The judgment is affirmed in part, vacated in part, and the cause is remanded for further proceedings consistent with this opinion.</w:t>
      </w:r>
    </w:p>
    <w:p>
      <w:pPr>
        <w:pStyle w:val="SectionHeading"/>
      </w:pPr>
      <w:r>
        <w:rPr>
          <w:rFonts w:ascii="New Century Schoolbook" w:hAnsi="New Century Schoolbook" w:eastAsia="New Century Schoolbook" w:cs="New Century Schoolbook"/>
          <w:b w:val="0"/>
          <w:i w:val="0"/>
          <w:color w:val="000000"/>
          <w:sz w:val="22"/>
        </w:rPr>
        <w:t>I</w:t>
      </w:r>
    </w:p>
    <w:p>
      <w:pPr>
        <w:pStyle w:val="OpinionBody"/>
        <w:keepNext w:val="0"/>
        <w:keepLines w:val="0"/>
      </w:pPr>
      <w:r>
        <w:rPr>
          <w:rFonts w:ascii="New Century Schoolbook" w:hAnsi="New Century Schoolbook" w:eastAsia="New Century Schoolbook" w:cs="New Century Schoolbook"/>
          <w:b w:val="0"/>
          <w:i w:val="0"/>
          <w:color w:val="000000"/>
          <w:sz w:val="22"/>
        </w:rPr>
        <w:t>Respondents operate abortion clinics in central Florida. The facility involved here, the Aware Woman Center for Choice, stands near the northwest corner of U. S. Highway 1 and Dixie Way in Melbourne. Dixie Way is a public street 21 feet wide at the clinic. Two driveways cross from that street into the clinic parking lot. The street and the surrounding sidewalks and rights-of-way are traditional public forums.</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Petitioners and others opposed to abortion demonstrated at the clinic. A temporary order was entered on October 25, 1991. On September 30, 1992, the Circuit Court entered a permanent injunction prohibiting the named defendants and those acting in concert with them from trespassing on clinic property; blocking, impeding, or obstructing access; physically abusing or threatening persons entering or leaving; attempting those acts; and directing or encouraging others to commit them. Six months later respondents moved for sanctions and additional relief. A three-day evidentiary hearing followed, and the amended permanent injunction now before us was entered on April 8, 1993. </w:t>
      </w:r>
      <w:r>
        <w:rPr>
          <w:rFonts w:ascii="New Century Schoolbook" w:hAnsi="New Century Schoolbook" w:eastAsia="New Century Schoolbook" w:cs="New Century Schoolbook"/>
          <w:b w:val="0"/>
          <w:i/>
          <w:color w:val="000000"/>
          <w:sz w:val="22"/>
        </w:rPr>
        <w:t>Operation Rescue v. Women’s Health Center, Inc.</w:t>
      </w:r>
      <w:r>
        <w:rPr>
          <w:rFonts w:ascii="New Century Schoolbook" w:hAnsi="New Century Schoolbook" w:eastAsia="New Century Schoolbook" w:cs="New Century Schoolbook"/>
          <w:b w:val="0"/>
          <w:i w:val="0"/>
          <w:color w:val="000000"/>
          <w:sz w:val="22"/>
        </w:rPr>
        <w:t>, 626 So. 2d 664, 667–669 (Fla. 1993).</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trial court found that demonstrators stood and marched on the paved portion of Dixie Way and formed a circular picket line crossing both clinic driveways. Vehicles slowed, hesitated, or stopped until persons moved from their path; sidewalk counselors used the delay to approach occupants with literature. Attendance ranged from a handful to 400, and included named defendants, loosely affiliated demonstrators, clinic supporters, police, and members of the press. The findings therefore do not attribute every act in the crowd to every petitioner. They do establish recurring obstruction and interference at the location for which the court prescribed an access boundary. </w:t>
      </w:r>
      <w:r>
        <w:rPr>
          <w:rFonts w:ascii="New Century Schoolbook" w:hAnsi="New Century Schoolbook" w:eastAsia="New Century Schoolbook" w:cs="New Century Schoolbook"/>
          <w:b w:val="0"/>
          <w:i/>
          <w:color w:val="000000"/>
          <w:sz w:val="22"/>
        </w:rPr>
        <w:t>Id.</w:t>
      </w:r>
      <w:r>
        <w:rPr>
          <w:rFonts w:ascii="New Century Schoolbook" w:hAnsi="New Century Schoolbook" w:eastAsia="New Century Schoolbook" w:cs="New Century Schoolbook"/>
          <w:b w:val="0"/>
          <w:i w:val="0"/>
          <w:color w:val="000000"/>
          <w:sz w:val="22"/>
        </w:rPr>
        <w:t>, at 667–668, 677–682, and n. 4.</w:t>
      </w:r>
    </w:p>
    <w:p>
      <w:pPr>
        <w:pStyle w:val="OpinionBody"/>
        <w:keepNext w:val="0"/>
        <w:keepLines w:val="0"/>
      </w:pPr>
      <w:r>
        <w:rPr>
          <w:rFonts w:ascii="New Century Schoolbook" w:hAnsi="New Century Schoolbook" w:eastAsia="New Century Schoolbook" w:cs="New Century Schoolbook"/>
          <w:b w:val="0"/>
          <w:i w:val="0"/>
          <w:color w:val="000000"/>
          <w:sz w:val="22"/>
        </w:rPr>
        <w:t>The demonstrations also included singing and chanting, loudspeakers, boom boxes, and bullhorns, sometimes accompanied by competing efforts to out-shout the demonstrators. A clinic physician testified separately about two forms of harm. Passing through the confrontation outside increased anxiety and hypertension and sometimes required additional sedation, with attendant medical risk. Sounds penetrating the clinic caused stress during surgical procedures and recovery. Delayed appointments created additional health concerns. 626 So. 2d, at 668.</w:t>
      </w:r>
    </w:p>
    <w:p>
      <w:pPr>
        <w:pStyle w:val="OpinionBody"/>
        <w:keepNext w:val="0"/>
        <w:keepLines w:val="0"/>
      </w:pPr>
      <w:r>
        <w:rPr>
          <w:rFonts w:ascii="New Century Schoolbook" w:hAnsi="New Century Schoolbook" w:eastAsia="New Century Schoolbook" w:cs="New Century Schoolbook"/>
          <w:b w:val="0"/>
          <w:i w:val="0"/>
          <w:color w:val="000000"/>
          <w:sz w:val="22"/>
        </w:rPr>
        <w:t>Other findings require attention because a remedy must confront the whole record, not only its easiest parts. Persons sometimes used ladders outside the fences to address those within the clinic. The court found following of patients and staff, tracing of license plates, literature pushed through vehicle windows, threatening conduct, and demonstrations at employees’ homes, including identification of employees to their neighbors and encounters involving minor children. Those acts support precise restraints on threats, intrusion, pursuit, obstruction, disruptive sound, and targeted residential harassment. Whether they support the broader territorial and communicative prohibitions is the question presented.</w:t>
      </w:r>
    </w:p>
    <w:p>
      <w:pPr>
        <w:pStyle w:val="OpinionBody"/>
        <w:keepNext w:val="0"/>
        <w:keepLines w:val="0"/>
      </w:pPr>
      <w:r>
        <w:rPr>
          <w:rFonts w:ascii="New Century Schoolbook" w:hAnsi="New Century Schoolbook" w:eastAsia="New Century Schoolbook" w:cs="New Century Schoolbook"/>
          <w:b w:val="0"/>
          <w:i w:val="0"/>
          <w:color w:val="000000"/>
          <w:sz w:val="22"/>
        </w:rPr>
        <w:t>The amended order retained prohibitions against entering clinic property, obstructing access to the clinic and its parking lot, physically abusing or threatening clinic patients and staff, and inducing others to commit prohibited acts. Petitioners do not challenge those provisions. Brief for Petitioners 9. They challenge provisions that: (1) bar congregating, picketing, patrolling, demonstrating, or entering within 36 feet of the clinic property line, subject to stated exceptions; (2) prohibit specified sounds audible within, and images observable by patients inside, the clinic from 7:30 a.m. to noon, Monday through Saturday; (3) prohibit any uninvited physical approach to a person seeking clinic services within 300 feet of the clinic; and (4) prohibit approaching, congregating, picketing, patrolling, demonstrating, or using sound amplification within 300 feet of clinic employees’ residences. 626 So. 2d, at 679–680. The order names organizations and individuals and extends to persons acting in concert or participation with them who receive actual notice.</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Supreme Court of Florida recognized the traditional public-forum character of the streets and sidewalks. It held the injunction content neutral and sustained the challenged provisions under the rule for reasonable time, place, and manner restrictions. 626 So. 2d, at 671–675. The United States Court of Appeals for the Eleventh Circuit, considering a separate challenge to the same order, reached a contrary conclusion. </w:t>
      </w:r>
      <w:r>
        <w:rPr>
          <w:rFonts w:ascii="New Century Schoolbook" w:hAnsi="New Century Schoolbook" w:eastAsia="New Century Schoolbook" w:cs="New Century Schoolbook"/>
          <w:b w:val="0"/>
          <w:i/>
          <w:color w:val="000000"/>
          <w:sz w:val="22"/>
        </w:rPr>
        <w:t>Cheffer v. McGregor</w:t>
      </w:r>
      <w:r>
        <w:rPr>
          <w:rFonts w:ascii="New Century Schoolbook" w:hAnsi="New Century Schoolbook" w:eastAsia="New Century Schoolbook" w:cs="New Century Schoolbook"/>
          <w:b w:val="0"/>
          <w:i w:val="0"/>
          <w:color w:val="000000"/>
          <w:sz w:val="22"/>
        </w:rPr>
        <w:t>, 6 F. 3d 705, 711–712 (1993). We granted certiorari. 510 U. S. 1084 (1994).</w:t>
      </w:r>
    </w:p>
    <w:p>
      <w:pPr>
        <w:pStyle w:val="SectionHeading"/>
      </w:pPr>
      <w:r>
        <w:rPr>
          <w:rFonts w:ascii="New Century Schoolbook" w:hAnsi="New Century Schoolbook" w:eastAsia="New Century Schoolbook" w:cs="New Century Schoolbook"/>
          <w:b w:val="0"/>
          <w:i w:val="0"/>
          <w:color w:val="000000"/>
          <w:sz w:val="22"/>
        </w:rPr>
        <w:t>II</w:t>
      </w:r>
    </w:p>
    <w:p>
      <w:pPr>
        <w:pStyle w:val="OpinionBody"/>
        <w:keepNext w:val="0"/>
        <w:keepLines w:val="0"/>
      </w:pPr>
      <w:r>
        <w:rPr>
          <w:rFonts w:ascii="New Century Schoolbook" w:hAnsi="New Century Schoolbook" w:eastAsia="New Century Schoolbook" w:cs="New Century Schoolbook"/>
          <w:b w:val="0"/>
          <w:i w:val="0"/>
          <w:color w:val="000000"/>
          <w:sz w:val="22"/>
        </w:rPr>
        <w:t>Petitioners first contend that an injunction applicable only to identified opponents of abortion is necessarily content or viewpoint based. The premise confuses the reason a court selects the parties with the rule by which it selects the forbidden conduct. An injunction ordinarily binds particular persons because a court has adjudicated a dispute involving them. If that feature alone established content discrimination, nearly every injunction affecting expression would be content based without regard to the ground on which it issued.</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principal inquiry is whether government has regulated expression without reference to its content. </w:t>
      </w:r>
      <w:r>
        <w:rPr>
          <w:rFonts w:ascii="New Century Schoolbook" w:hAnsi="New Century Schoolbook" w:eastAsia="New Century Schoolbook" w:cs="New Century Schoolbook"/>
          <w:b w:val="0"/>
          <w:i/>
          <w:color w:val="000000"/>
          <w:sz w:val="22"/>
        </w:rPr>
        <w:t>Ward v. Rock Against Racism</w:t>
      </w:r>
      <w:r>
        <w:rPr>
          <w:rFonts w:ascii="New Century Schoolbook" w:hAnsi="New Century Schoolbook" w:eastAsia="New Century Schoolbook" w:cs="New Century Schoolbook"/>
          <w:b w:val="0"/>
          <w:i w:val="0"/>
          <w:color w:val="000000"/>
          <w:sz w:val="22"/>
        </w:rPr>
        <w:t>, 491 U. S. 781, 791 (1989). The Florida court did not forbid criticism of abortion while permitting identical obstruction by speakers of another view. It responded to findings concerning ingress and egress, traffic, sound, personal security, and residences. Nothing suggests that Florida would deny comparable protection against the same conduct in another controversy. The identity of those bound follows from adjudicated conduct; the operative prohibitions do not, for that reason, adopt the clinic’s view.</w:t>
      </w:r>
    </w:p>
    <w:p>
      <w:pPr>
        <w:pStyle w:val="OpinionBody"/>
        <w:keepNext w:val="0"/>
        <w:keepLines w:val="0"/>
      </w:pPr>
      <w:r>
        <w:rPr>
          <w:rFonts w:ascii="New Century Schoolbook" w:hAnsi="New Century Schoolbook" w:eastAsia="New Century Schoolbook" w:cs="New Century Schoolbook"/>
          <w:b w:val="0"/>
          <w:i w:val="0"/>
          <w:color w:val="000000"/>
          <w:sz w:val="22"/>
        </w:rPr>
        <w:t>The dissent is right that a speaker-specific decree backed by contempt creates risks not present to the same degree in an enactment addressed to the public. An imprecise command may chill the person who must obey it before an appellate court can review a contempt judgment. That consequence bears on the rigor and specificity of review. It does not convert a conduct-based order into a content-based one. The decree’s contempt-backed character is accounted for in the provision-specific standard we apply.</w:t>
      </w:r>
      <w:r>
        <w:rPr>
          <w:rFonts w:ascii="New Century Schoolbook" w:hAnsi="New Century Schoolbook" w:eastAsia="New Century Schoolbook" w:cs="New Century Schoolbook"/>
          <w:b w:val="0"/>
          <w:i w:val="0"/>
          <w:color w:val="000000"/>
          <w:sz w:val="22"/>
        </w:rPr>
        <w:t/>
      </w:r>
      <w:r>
        <w:rPr>
          <w:rStyle w:val="FootnoteReference"/>
        </w:rPr>
        <w:footnoteReference w:id="20"/>
      </w:r>
    </w:p>
    <w:p>
      <w:pPr>
        <w:pStyle w:val="OpinionBody"/>
        <w:keepNext w:val="0"/>
        <w:keepLines w:val="0"/>
      </w:pPr>
      <w:r>
        <w:rPr>
          <w:rFonts w:ascii="New Century Schoolbook" w:hAnsi="New Century Schoolbook" w:eastAsia="New Century Schoolbook" w:cs="New Century Schoolbook"/>
          <w:b w:val="0"/>
          <w:i w:val="0"/>
          <w:color w:val="000000"/>
          <w:sz w:val="22"/>
        </w:rPr>
        <w:t>One provision requires separate caution. The images clause was justified by the distress patients experienced upon seeing antiabortion placards. Because that rationale concerns the communicative effect of expression, it may bear on content classification. We need not resolve that additional question. Even assuming the images clause is content neutral, it fails the more exacting standard applicable to this injunction.</w:t>
      </w:r>
    </w:p>
    <w:p>
      <w:pPr>
        <w:pStyle w:val="SectionHeading"/>
      </w:pPr>
      <w:r>
        <w:rPr>
          <w:rFonts w:ascii="New Century Schoolbook" w:hAnsi="New Century Schoolbook" w:eastAsia="New Century Schoolbook" w:cs="New Century Schoolbook"/>
          <w:b w:val="0"/>
          <w:i w:val="0"/>
          <w:color w:val="000000"/>
          <w:sz w:val="22"/>
        </w:rPr>
        <w:t>III</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A generally applicable, content-neutral regulation of expression in a traditional public forum is valid if it is narrowly tailored to serve a significant governmental interest and leaves open ample alternative channels of communication. </w:t>
      </w:r>
      <w:r>
        <w:rPr>
          <w:rFonts w:ascii="New Century Schoolbook" w:hAnsi="New Century Schoolbook" w:eastAsia="New Century Schoolbook" w:cs="New Century Schoolbook"/>
          <w:b w:val="0"/>
          <w:i/>
          <w:color w:val="000000"/>
          <w:sz w:val="22"/>
        </w:rPr>
        <w:t>Ward</w:t>
      </w:r>
      <w:r>
        <w:rPr>
          <w:rFonts w:ascii="New Century Schoolbook" w:hAnsi="New Century Schoolbook" w:eastAsia="New Century Schoolbook" w:cs="New Century Schoolbook"/>
          <w:b w:val="0"/>
          <w:i w:val="0"/>
          <w:color w:val="000000"/>
          <w:sz w:val="22"/>
        </w:rPr>
        <w:t xml:space="preserve">, </w:t>
      </w:r>
      <w:r>
        <w:rPr>
          <w:rFonts w:ascii="New Century Schoolbook" w:hAnsi="New Century Schoolbook" w:eastAsia="New Century Schoolbook" w:cs="New Century Schoolbook"/>
          <w:b w:val="0"/>
          <w:i/>
          <w:color w:val="000000"/>
          <w:sz w:val="22"/>
        </w:rPr>
        <w:t>supra</w:t>
      </w:r>
      <w:r>
        <w:rPr>
          <w:rFonts w:ascii="New Century Schoolbook" w:hAnsi="New Century Schoolbook" w:eastAsia="New Century Schoolbook" w:cs="New Century Schoolbook"/>
          <w:b w:val="0"/>
          <w:i w:val="0"/>
          <w:color w:val="000000"/>
          <w:sz w:val="22"/>
        </w:rPr>
        <w:t xml:space="preserve">, at 791; </w:t>
      </w:r>
      <w:r>
        <w:rPr>
          <w:rFonts w:ascii="New Century Schoolbook" w:hAnsi="New Century Schoolbook" w:eastAsia="New Century Schoolbook" w:cs="New Century Schoolbook"/>
          <w:b w:val="0"/>
          <w:i/>
          <w:color w:val="000000"/>
          <w:sz w:val="22"/>
        </w:rPr>
        <w:t>Perry Ed. Assn. v. Perry Local Educators’ Assn.</w:t>
      </w:r>
      <w:r>
        <w:rPr>
          <w:rFonts w:ascii="New Century Schoolbook" w:hAnsi="New Century Schoolbook" w:eastAsia="New Century Schoolbook" w:cs="New Century Schoolbook"/>
          <w:b w:val="0"/>
          <w:i w:val="0"/>
          <w:color w:val="000000"/>
          <w:sz w:val="22"/>
        </w:rPr>
        <w:t xml:space="preserve">, 460 U. S. 37, 45 (1983). Under that rule the government need not identify the least restrictive conceivable means; it may adopt a reasonable fit without eliminating every alternative. </w:t>
      </w:r>
      <w:r>
        <w:rPr>
          <w:rFonts w:ascii="New Century Schoolbook" w:hAnsi="New Century Schoolbook" w:eastAsia="New Century Schoolbook" w:cs="New Century Schoolbook"/>
          <w:b w:val="0"/>
          <w:i/>
          <w:color w:val="000000"/>
          <w:sz w:val="22"/>
        </w:rPr>
        <w:t>Ward</w:t>
      </w:r>
      <w:r>
        <w:rPr>
          <w:rFonts w:ascii="New Century Schoolbook" w:hAnsi="New Century Schoolbook" w:eastAsia="New Century Schoolbook" w:cs="New Century Schoolbook"/>
          <w:b w:val="0"/>
          <w:i w:val="0"/>
          <w:color w:val="000000"/>
          <w:sz w:val="22"/>
        </w:rPr>
        <w:t>, 491 U. S., at 798–800.</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A judicial injunction performs a different office. It is an equitable remedy for an actual or threatened violation and is enforceable through contempt. </w:t>
      </w:r>
      <w:r>
        <w:rPr>
          <w:rFonts w:ascii="New Century Schoolbook" w:hAnsi="New Century Schoolbook" w:eastAsia="New Century Schoolbook" w:cs="New Century Schoolbook"/>
          <w:b w:val="0"/>
          <w:i/>
          <w:color w:val="000000"/>
          <w:sz w:val="22"/>
        </w:rPr>
        <w:t>United States v. W. T. Grant Co.</w:t>
      </w:r>
      <w:r>
        <w:rPr>
          <w:rFonts w:ascii="New Century Schoolbook" w:hAnsi="New Century Schoolbook" w:eastAsia="New Century Schoolbook" w:cs="New Century Schoolbook"/>
          <w:b w:val="0"/>
          <w:i w:val="0"/>
          <w:color w:val="000000"/>
          <w:sz w:val="22"/>
        </w:rPr>
        <w:t xml:space="preserve">, 345 U. S. 629, 632–633 (1953). Its scope should follow the extent of the violation. </w:t>
      </w:r>
      <w:r>
        <w:rPr>
          <w:rFonts w:ascii="New Century Schoolbook" w:hAnsi="New Century Schoolbook" w:eastAsia="New Century Schoolbook" w:cs="New Century Schoolbook"/>
          <w:b w:val="0"/>
          <w:i/>
          <w:color w:val="000000"/>
          <w:sz w:val="22"/>
        </w:rPr>
        <w:t>Califano v. Yamasaki</w:t>
      </w:r>
      <w:r>
        <w:rPr>
          <w:rFonts w:ascii="New Century Schoolbook" w:hAnsi="New Century Schoolbook" w:eastAsia="New Century Schoolbook" w:cs="New Century Schoolbook"/>
          <w:b w:val="0"/>
          <w:i w:val="0"/>
          <w:color w:val="000000"/>
          <w:sz w:val="22"/>
        </w:rPr>
        <w:t xml:space="preserve">, 442 U. S. 682, 702 (1979). A court may address like or related acts whose recurrence may fairly be anticipated from the conduct adjudged, but it may not convert a proved violation into a command against unrelated activity. </w:t>
      </w:r>
      <w:r>
        <w:rPr>
          <w:rFonts w:ascii="New Century Schoolbook" w:hAnsi="New Century Schoolbook" w:eastAsia="New Century Schoolbook" w:cs="New Century Schoolbook"/>
          <w:b w:val="0"/>
          <w:i/>
          <w:color w:val="000000"/>
          <w:sz w:val="22"/>
        </w:rPr>
        <w:t>NLRB v. Express Publishing Co.</w:t>
      </w:r>
      <w:r>
        <w:rPr>
          <w:rFonts w:ascii="New Century Schoolbook" w:hAnsi="New Century Schoolbook" w:eastAsia="New Century Schoolbook" w:cs="New Century Schoolbook"/>
          <w:b w:val="0"/>
          <w:i w:val="0"/>
          <w:color w:val="000000"/>
          <w:sz w:val="22"/>
        </w:rPr>
        <w:t>, 312 U. S. 426, 433–436 (1941). The capacity to frame a remedy from a developed record supplies the justification for demanding a closer fit than legislation can ordinarily achieve.</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Our First Amendment cases point in the same direction. When unlawful conduct occurs with protected association or expression, a court must separate the two with precision. </w:t>
      </w:r>
      <w:r>
        <w:rPr>
          <w:rFonts w:ascii="New Century Schoolbook" w:hAnsi="New Century Schoolbook" w:eastAsia="New Century Schoolbook" w:cs="New Century Schoolbook"/>
          <w:b w:val="0"/>
          <w:i/>
          <w:color w:val="000000"/>
          <w:sz w:val="22"/>
        </w:rPr>
        <w:t>NAACP v. Claiborne Hardware Co.</w:t>
      </w:r>
      <w:r>
        <w:rPr>
          <w:rFonts w:ascii="New Century Schoolbook" w:hAnsi="New Century Schoolbook" w:eastAsia="New Century Schoolbook" w:cs="New Century Schoolbook"/>
          <w:b w:val="0"/>
          <w:i w:val="0"/>
          <w:color w:val="000000"/>
          <w:sz w:val="22"/>
        </w:rPr>
        <w:t xml:space="preserve">, 458 U. S. 886, 916, and n. 52 (1982). An order directed to speech must use terms fitted as precisely as possible to the objective that permits restraint. </w:t>
      </w:r>
      <w:r>
        <w:rPr>
          <w:rFonts w:ascii="New Century Schoolbook" w:hAnsi="New Century Schoolbook" w:eastAsia="New Century Schoolbook" w:cs="New Century Schoolbook"/>
          <w:b w:val="0"/>
          <w:i/>
          <w:color w:val="000000"/>
          <w:sz w:val="22"/>
        </w:rPr>
        <w:t>Carroll v. President and Comm’rs of Princess Anne</w:t>
      </w:r>
      <w:r>
        <w:rPr>
          <w:rFonts w:ascii="New Century Schoolbook" w:hAnsi="New Century Schoolbook" w:eastAsia="New Century Schoolbook" w:cs="New Century Schoolbook"/>
          <w:b w:val="0"/>
          <w:i w:val="0"/>
          <w:color w:val="000000"/>
          <w:sz w:val="22"/>
        </w:rPr>
        <w:t>, 393 U. S. 175, 183–184 (1968). We therefore ask, command by command, whether this content-neutral injunction is connected to demonstrated unlawful conduct and burdens no more speech than necessary to afford complete protection for the significant interests injured by that conduct.</w:t>
      </w:r>
    </w:p>
    <w:p>
      <w:pPr>
        <w:pStyle w:val="OpinionBody"/>
        <w:keepNext w:val="0"/>
        <w:keepLines w:val="0"/>
      </w:pPr>
      <w:r>
        <w:rPr>
          <w:rFonts w:ascii="New Century Schoolbook" w:hAnsi="New Century Schoolbook" w:eastAsia="New Century Schoolbook" w:cs="New Century Schoolbook"/>
          <w:b w:val="0"/>
          <w:i w:val="0"/>
          <w:color w:val="000000"/>
          <w:sz w:val="22"/>
        </w:rPr>
        <w:t>The phrase “burdens no more speech than necessary” demands a pinpointed equitable fit to the proved harm. It does not require a court to compare every conceivable formulation and identify one uniquely least restrictive phrasing imaginable. The inquiry is practical and evidentiary. Each operative term must be supported by the violation found, the injury threatened, and the need for complete relief. A materially narrower command that would give complete protection defeats the broader one. A merely different set of words that removes no material burden does not. This is more exacting than the latitude afforded a legislature under ordinary time, place, and manner review, but it is not an impossible search for verbal perfection.</w:t>
      </w:r>
    </w:p>
    <w:p>
      <w:pPr>
        <w:pStyle w:val="OpinionBody"/>
        <w:keepNext w:val="0"/>
        <w:keepLines w:val="0"/>
      </w:pPr>
      <w:r>
        <w:rPr>
          <w:rFonts w:ascii="New Century Schoolbook" w:hAnsi="New Century Schoolbook" w:eastAsia="New Century Schoolbook" w:cs="New Century Schoolbook"/>
          <w:b w:val="0"/>
          <w:i w:val="0"/>
          <w:color w:val="000000"/>
          <w:sz w:val="22"/>
        </w:rPr>
        <w:t>Justice Scalia would apply strict scrutiny because the order identifies speakers and carries the threat of contempt. His objection correctly identifies the danger of remedial overreach; it does not establish that the court acted because of petitioners’ ideas. The equitable standard just stated addresses that danger directly. It requires proof of the injury, an explanation of the remedy’s practical necessity, and a boundary that leaves protected expression untouched beyond that necessity. Deference to the issuing judge, without that demonstration, is not enough.</w:t>
      </w:r>
    </w:p>
    <w:p>
      <w:pPr>
        <w:pStyle w:val="OpinionBody"/>
        <w:keepNext w:val="0"/>
        <w:keepLines w:val="0"/>
      </w:pPr>
      <w:r>
        <w:rPr>
          <w:rFonts w:ascii="New Century Schoolbook" w:hAnsi="New Century Schoolbook" w:eastAsia="New Century Schoolbook" w:cs="New Century Schoolbook"/>
          <w:b w:val="0"/>
          <w:i w:val="0"/>
          <w:color w:val="000000"/>
          <w:sz w:val="22"/>
        </w:rPr>
        <w:t>The interests identified below are substantial: unimpeded access to lawful medical and counseling services; public safety and order; the free flow of traffic; protection of property and personal security; conditions in which medical procedures may be performed; and privacy at the home. These interests permit effective relief. They do not merge distinct locations and activities into a single undifferentiated field of restraint.</w:t>
      </w:r>
    </w:p>
    <w:p>
      <w:pPr>
        <w:pStyle w:val="SectionHeading"/>
      </w:pPr>
      <w:r>
        <w:rPr>
          <w:rFonts w:ascii="New Century Schoolbook" w:hAnsi="New Century Schoolbook" w:eastAsia="New Century Schoolbook" w:cs="New Century Schoolbook"/>
          <w:b w:val="0"/>
          <w:i w:val="0"/>
          <w:color w:val="000000"/>
          <w:sz w:val="22"/>
        </w:rPr>
        <w:t>A</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36-foot zone has two materially different applications. At the clinic entrances and along the portion of Dixie Way used for ingress and egress, it answers findings that demonstrators stood and marched in the path of clinic-bound vehicles, crossed the two driveways, and impeded traffic on a narrow street. A State may prevent picketing that obstructs or unreasonably interferes with access. </w:t>
      </w:r>
      <w:r>
        <w:rPr>
          <w:rFonts w:ascii="New Century Schoolbook" w:hAnsi="New Century Schoolbook" w:eastAsia="New Century Schoolbook" w:cs="New Century Schoolbook"/>
          <w:b w:val="0"/>
          <w:i/>
          <w:color w:val="000000"/>
          <w:sz w:val="22"/>
        </w:rPr>
        <w:t>Cameron v. Johnson</w:t>
      </w:r>
      <w:r>
        <w:rPr>
          <w:rFonts w:ascii="New Century Schoolbook" w:hAnsi="New Century Schoolbook" w:eastAsia="New Century Schoolbook" w:cs="New Century Schoolbook"/>
          <w:b w:val="0"/>
          <w:i w:val="0"/>
          <w:color w:val="000000"/>
          <w:sz w:val="22"/>
        </w:rPr>
        <w:t>, 390 U. S. 611, 617 (1968). The issue is whether a defined physical boundary at that confined location adds an unnecessary burden.</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history of the first decree is central to that determination. That order already prohibited trespass, blocking, impeding, and obstructing access, as well as physical abuse, attempts, and direction of others. It proved inadequate: the later findings describe continued interference at the driveways and along Dixie Way. The demonstrated failure of a conduct-only command supplies objective evidence that officers and parties could not preserve access without a readily understood spatial line. A court may take the failure of earlier relief into account when determining what later protection requires. See </w:t>
      </w:r>
      <w:r>
        <w:rPr>
          <w:rFonts w:ascii="New Century Schoolbook" w:hAnsi="New Century Schoolbook" w:eastAsia="New Century Schoolbook" w:cs="New Century Schoolbook"/>
          <w:b w:val="0"/>
          <w:i/>
          <w:color w:val="000000"/>
          <w:sz w:val="22"/>
        </w:rPr>
        <w:t>National Soc. of Professional Engineers v. United States</w:t>
      </w:r>
      <w:r>
        <w:rPr>
          <w:rFonts w:ascii="New Century Schoolbook" w:hAnsi="New Century Schoolbook" w:eastAsia="New Century Schoolbook" w:cs="New Century Schoolbook"/>
          <w:b w:val="0"/>
          <w:i w:val="0"/>
          <w:color w:val="000000"/>
          <w:sz w:val="22"/>
        </w:rPr>
        <w:t>, 435 U. S. 679, 697–698 (1978).</w:t>
      </w:r>
    </w:p>
    <w:p>
      <w:pPr>
        <w:pStyle w:val="OpinionBody"/>
        <w:keepNext w:val="0"/>
        <w:keepLines w:val="0"/>
      </w:pPr>
      <w:r>
        <w:rPr>
          <w:rFonts w:ascii="New Century Schoolbook" w:hAnsi="New Century Schoolbook" w:eastAsia="New Century Schoolbook" w:cs="New Century Schoolbook"/>
          <w:b w:val="0"/>
          <w:i w:val="0"/>
          <w:color w:val="000000"/>
          <w:sz w:val="22"/>
        </w:rPr>
        <w:t>We do not make entry and failure of a narrower injunction an invariable constitutional prerequisite. The First Amendment does not require a court to issue a futile order before protecting persons from a proved and imminent danger. Direct findings of impending violence, complete blockage, or a comparable necessity may support a fitted buffer in the first instance. Nor does the failure of an earlier order establish every later boundary automatically. Here it matters because the earlier decree forbade the same obstruction and the spatial line answers the enforcement problem disclosed by repeated interference at the same two driveways. That is the case we decide.</w:t>
      </w:r>
    </w:p>
    <w:p>
      <w:pPr>
        <w:pStyle w:val="OpinionBody"/>
        <w:keepNext w:val="0"/>
        <w:keepLines w:val="0"/>
      </w:pPr>
      <w:r>
        <w:rPr>
          <w:rFonts w:ascii="New Century Schoolbook" w:hAnsi="New Century Schoolbook" w:eastAsia="New Century Schoolbook" w:cs="New Century Schoolbook"/>
          <w:b w:val="0"/>
          <w:i w:val="0"/>
          <w:color w:val="000000"/>
          <w:sz w:val="22"/>
        </w:rPr>
        <w:t>The dimensions and remaining channels confirm the fit. Dixie Way is only 21 feet wide near the clinic. 626 So. 2d, at 667. A demonstrator remaining across that narrow street can still be seen and heard from the entrance and parking area. Those are direct opportunities for oral and visual communication, not a nominal right at a remote distance. The entrance-and-driveway application keeps the route open while preserving contact with the intended audience.</w:t>
      </w:r>
    </w:p>
    <w:p>
      <w:pPr>
        <w:pStyle w:val="OpinionBody"/>
        <w:keepNext w:val="0"/>
        <w:keepLines w:val="0"/>
      </w:pPr>
      <w:r>
        <w:rPr>
          <w:rFonts w:ascii="New Century Schoolbook" w:hAnsi="New Century Schoolbook" w:eastAsia="New Century Schoolbook" w:cs="New Century Schoolbook"/>
          <w:b w:val="0"/>
          <w:i w:val="0"/>
          <w:color w:val="000000"/>
          <w:sz w:val="22"/>
        </w:rPr>
        <w:t>The dissent draws a different conclusion from a videotape and proposes narrower instructions governing where persons may stand or cross. The tape was one exhibit in a three-day hearing; it was not the whole record. We do not replace findings based on evidence not fully brought before us with our own reconstruction of one exhibit.</w:t>
      </w:r>
      <w:r>
        <w:rPr>
          <w:rFonts w:ascii="New Century Schoolbook" w:hAnsi="New Century Schoolbook" w:eastAsia="New Century Schoolbook" w:cs="New Century Schoolbook"/>
          <w:b w:val="0"/>
          <w:i w:val="0"/>
          <w:color w:val="000000"/>
          <w:sz w:val="22"/>
        </w:rPr>
        <w:t/>
      </w:r>
      <w:r>
        <w:rPr>
          <w:rStyle w:val="FootnoteReference"/>
        </w:rPr>
        <w:footnoteReference w:id="21"/>
      </w:r>
      <w:r>
        <w:rPr>
          <w:rFonts w:ascii="New Century Schoolbook" w:hAnsi="New Century Schoolbook" w:eastAsia="New Century Schoolbook" w:cs="New Century Schoolbook"/>
          <w:b w:val="0"/>
          <w:i w:val="0"/>
          <w:color w:val="000000"/>
          <w:sz w:val="22"/>
        </w:rPr>
        <w:t xml:space="preserve"> On the findings and posture presented, the entrance-and-driveway boundary is connected to repeated obstruction, is anchored by the failure of a narrower command, and preserves direct communication across Dixie Way. It burdens no more speech than necessary.</w:t>
      </w:r>
    </w:p>
    <w:p>
      <w:pPr>
        <w:pStyle w:val="OpinionBody"/>
        <w:keepNext w:val="0"/>
        <w:keepLines w:val="0"/>
      </w:pPr>
      <w:r>
        <w:rPr>
          <w:rFonts w:ascii="New Century Schoolbook" w:hAnsi="New Century Schoolbook" w:eastAsia="New Century Schoolbook" w:cs="New Century Schoolbook"/>
          <w:b w:val="0"/>
          <w:i w:val="0"/>
          <w:color w:val="000000"/>
          <w:sz w:val="22"/>
        </w:rPr>
        <w:t>The extension over private property north and west of the clinic does not follow. Patients and staff did not cross that land to reach the clinic, and presence there did not obstruct the driveways or traffic. The ladder incidents and other intrusive conduct are not disregarded. Threats, sound penetrating the clinic during protected hours, and acts of harassment may be reached by the unchallenged commands and the sustainable noise provision. They do not justify excluding every peaceful speaker and every form of expression from adjoining owners’ land. Misconduct at one place cannot be used to suppress lawful activity at another merely because both lie within the same measured distance. The private-property extension must be vacated.</w:t>
      </w:r>
    </w:p>
    <w:p>
      <w:pPr>
        <w:pStyle w:val="SectionHeading"/>
      </w:pPr>
      <w:r>
        <w:rPr>
          <w:rFonts w:ascii="New Century Schoolbook" w:hAnsi="New Century Schoolbook" w:eastAsia="New Century Schoolbook" w:cs="New Century Schoolbook"/>
          <w:b w:val="0"/>
          <w:i w:val="0"/>
          <w:color w:val="000000"/>
          <w:sz w:val="22"/>
        </w:rPr>
        <w:t>B</w:t>
      </w:r>
    </w:p>
    <w:p>
      <w:pPr>
        <w:pStyle w:val="OpinionBody"/>
        <w:keepNext w:val="0"/>
        <w:keepLines w:val="0"/>
      </w:pPr>
      <w:r>
        <w:rPr>
          <w:rFonts w:ascii="New Century Schoolbook" w:hAnsi="New Century Schoolbook" w:eastAsia="New Century Schoolbook" w:cs="New Century Schoolbook"/>
          <w:b w:val="0"/>
          <w:i w:val="0"/>
          <w:color w:val="000000"/>
          <w:sz w:val="22"/>
        </w:rPr>
        <w:t>Paragraph (4) placed its restrictions on sound and images in a single numbered command, barring specified “sounds or images observable to or within earshot of the patients inside the Clinic.” 626 So. 2d, at 679. The chancellor thus yoked a noncommunicative harm, sound entering treatment and recovery rooms, to a communicative one, the message carried on a placard. The First Amendment requires us to separate them.</w:t>
      </w:r>
    </w:p>
    <w:p>
      <w:pPr>
        <w:pStyle w:val="OpinionBody"/>
        <w:keepNext w:val="0"/>
        <w:keepLines w:val="0"/>
      </w:pPr>
      <w:r>
        <w:rPr>
          <w:rFonts w:ascii="New Century Schoolbook" w:hAnsi="New Century Schoolbook" w:eastAsia="New Century Schoolbook" w:cs="New Century Schoolbook"/>
          <w:b w:val="0"/>
          <w:i w:val="0"/>
          <w:color w:val="000000"/>
          <w:sz w:val="22"/>
        </w:rPr>
        <w:t>The order prohibits singing, chanting, whistling, shouting, yelling, horns, and amplification when audible within the clinic from 7:30 a.m. to noon, Monday through Saturday, during procedures and recovery. The trial court found that sounds from the demonstrations penetrated the building and produced stress during surgery and recovery. That finding is distinct from the testimony that the outside confrontation increased anxiety and sometimes required additional sedation. The record supports both propositions, but the noise command rests on the former.</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permissible level of sound depends in part on the normal activity of the place. </w:t>
      </w:r>
      <w:r>
        <w:rPr>
          <w:rFonts w:ascii="New Century Schoolbook" w:hAnsi="New Century Schoolbook" w:eastAsia="New Century Schoolbook" w:cs="New Century Schoolbook"/>
          <w:b w:val="0"/>
          <w:i/>
          <w:color w:val="000000"/>
          <w:sz w:val="22"/>
        </w:rPr>
        <w:t>Grayned v. City of Rockford</w:t>
      </w:r>
      <w:r>
        <w:rPr>
          <w:rFonts w:ascii="New Century Schoolbook" w:hAnsi="New Century Schoolbook" w:eastAsia="New Century Schoolbook" w:cs="New Century Schoolbook"/>
          <w:b w:val="0"/>
          <w:i w:val="0"/>
          <w:color w:val="000000"/>
          <w:sz w:val="22"/>
        </w:rPr>
        <w:t>, 408 U. S. 104, 116 (1972). A medical facility during surgery and recovery may be protected against exterior sound that enters treatment rooms and interferes with care. This provision is limited by the hours of the clinic’s medical work, by the place in which sound must be heard, and by the effect to be prevented. It does not prohibit unamplified conversation that remains inaudible within the clinic, and it does not turn on the demonstrators’ message.</w:t>
      </w:r>
    </w:p>
    <w:p>
      <w:pPr>
        <w:pStyle w:val="OpinionBody"/>
        <w:keepNext w:val="0"/>
        <w:keepLines w:val="0"/>
      </w:pPr>
      <w:r>
        <w:rPr>
          <w:rFonts w:ascii="New Century Schoolbook" w:hAnsi="New Century Schoolbook" w:eastAsia="New Century Schoolbook" w:cs="New Century Schoolbook"/>
          <w:b w:val="0"/>
          <w:i w:val="0"/>
          <w:color w:val="000000"/>
          <w:sz w:val="22"/>
        </w:rPr>
        <w:t>No earlier order specifically prohibited procedure-time noise. That fact does not defeat the clause. As explained above, prior failure is important evidence where it shows why a new form of relief is necessary; it is not a mandatory experiment that must precede every equitable command. The direct findings concerning sound during procedures establish the need here. The court may require that petitioners reduce their volume to the point at which it does not disrupt the clinic’s medical work. The noise provision burdens no more speech than necessary and may remain.</w:t>
      </w:r>
    </w:p>
    <w:p>
      <w:pPr>
        <w:pStyle w:val="SectionHeading"/>
      </w:pPr>
      <w:r>
        <w:rPr>
          <w:rFonts w:ascii="New Century Schoolbook" w:hAnsi="New Century Schoolbook" w:eastAsia="New Century Schoolbook" w:cs="New Century Schoolbook"/>
          <w:b w:val="0"/>
          <w:i w:val="0"/>
          <w:color w:val="000000"/>
          <w:sz w:val="22"/>
        </w:rPr>
        <w:t>C</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ban on all images observable by patients inside the clinic is not comparably fitted. The issuing court sought to spare patients the psychological distress caused by antiabortion placards visible from procedure and recovery rooms. That protective purpose is understandable. It is nevertheless directed to what the image communicates. Emotional distress, offense, or agitation produced by disagreement with a message is not a noncommunicative consequence on which government may suppress expression in a public forum. </w:t>
      </w:r>
      <w:r>
        <w:rPr>
          <w:rFonts w:ascii="New Century Schoolbook" w:hAnsi="New Century Schoolbook" w:eastAsia="New Century Schoolbook" w:cs="New Century Schoolbook"/>
          <w:b w:val="0"/>
          <w:i/>
          <w:color w:val="000000"/>
          <w:sz w:val="22"/>
        </w:rPr>
        <w:t>Boos v. Barry</w:t>
      </w:r>
      <w:r>
        <w:rPr>
          <w:rFonts w:ascii="New Century Schoolbook" w:hAnsi="New Century Schoolbook" w:eastAsia="New Century Schoolbook" w:cs="New Century Schoolbook"/>
          <w:b w:val="0"/>
          <w:i w:val="0"/>
          <w:color w:val="000000"/>
          <w:sz w:val="22"/>
        </w:rPr>
        <w:t xml:space="preserve">, 485 U. S. 312, 320–321 (1988); </w:t>
      </w:r>
      <w:r>
        <w:rPr>
          <w:rFonts w:ascii="New Century Schoolbook" w:hAnsi="New Century Schoolbook" w:eastAsia="New Century Schoolbook" w:cs="New Century Schoolbook"/>
          <w:b w:val="0"/>
          <w:i/>
          <w:color w:val="000000"/>
          <w:sz w:val="22"/>
        </w:rPr>
        <w:t>Forsyth County v. Nationalist Movement</w:t>
      </w:r>
      <w:r>
        <w:rPr>
          <w:rFonts w:ascii="New Century Schoolbook" w:hAnsi="New Century Schoolbook" w:eastAsia="New Century Schoolbook" w:cs="New Century Schoolbook"/>
          <w:b w:val="0"/>
          <w:i w:val="0"/>
          <w:color w:val="000000"/>
          <w:sz w:val="22"/>
        </w:rPr>
        <w:t xml:space="preserve">, 505 U. S. 123, 134–135 (1992); see </w:t>
      </w:r>
      <w:r>
        <w:rPr>
          <w:rFonts w:ascii="New Century Schoolbook" w:hAnsi="New Century Schoolbook" w:eastAsia="New Century Schoolbook" w:cs="New Century Schoolbook"/>
          <w:b w:val="0"/>
          <w:i/>
          <w:color w:val="000000"/>
          <w:sz w:val="22"/>
        </w:rPr>
        <w:t>Coates v. Cincinnati</w:t>
      </w:r>
      <w:r>
        <w:rPr>
          <w:rFonts w:ascii="New Century Schoolbook" w:hAnsi="New Century Schoolbook" w:eastAsia="New Century Schoolbook" w:cs="New Century Schoolbook"/>
          <w:b w:val="0"/>
          <w:i w:val="0"/>
          <w:color w:val="000000"/>
          <w:sz w:val="22"/>
        </w:rPr>
        <w:t>, 402 U. S. 611, 615 (1971).</w:t>
      </w:r>
    </w:p>
    <w:p>
      <w:pPr>
        <w:pStyle w:val="OpinionBody"/>
        <w:keepNext w:val="0"/>
        <w:keepLines w:val="0"/>
      </w:pPr>
      <w:r>
        <w:rPr>
          <w:rFonts w:ascii="New Century Schoolbook" w:hAnsi="New Century Schoolbook" w:eastAsia="New Century Schoolbook" w:cs="New Century Schoolbook"/>
          <w:b w:val="0"/>
          <w:i w:val="0"/>
          <w:color w:val="000000"/>
          <w:sz w:val="22"/>
        </w:rPr>
        <w:t>A court may restrain a true threat conveyed in words or pictures. It may regulate the size or use of a placard when the object itself is employed to obstruct a path, strike a person, or invade a protected space. And it may address visual conduct proved to be part of stalking or targeted harassment. This provision draws none of those lines. It forbids every image visible from within the building, including a peaceful political sign held at a lawful distance, solely because a patient may see and react to its content.</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law ordinarily places the initial burden of avoiding an unwanted visual message on the viewer, who may avert the eyes, rather than on a peaceful speaker in a public forum. </w:t>
      </w:r>
      <w:r>
        <w:rPr>
          <w:rFonts w:ascii="New Century Schoolbook" w:hAnsi="New Century Schoolbook" w:eastAsia="New Century Schoolbook" w:cs="New Century Schoolbook"/>
          <w:b w:val="0"/>
          <w:i/>
          <w:color w:val="000000"/>
          <w:sz w:val="22"/>
        </w:rPr>
        <w:t>Erznoznik v. City of Jacksonville</w:t>
      </w:r>
      <w:r>
        <w:rPr>
          <w:rFonts w:ascii="New Century Schoolbook" w:hAnsi="New Century Schoolbook" w:eastAsia="New Century Schoolbook" w:cs="New Century Schoolbook"/>
          <w:b w:val="0"/>
          <w:i w:val="0"/>
          <w:color w:val="000000"/>
          <w:sz w:val="22"/>
        </w:rPr>
        <w:t>, 422 U. S. 205, 210–211 (1975). That rule does not ignore the clinic setting; a threat or interference with treatment remains regulable. It does establish that communicative impact alone is not the proved harm required for a blanket prohibition. The building can screen the view with curtains; it cannot recall disruptive sound once it has entered a treatment room. That practical distinction confirms, but does not supply, the constitutional rule. Because the clause suppresses substantially more expression than any independently proved injury requires, it must be vacated.</w:t>
      </w:r>
    </w:p>
    <w:p>
      <w:pPr>
        <w:pStyle w:val="SectionHeading"/>
      </w:pPr>
      <w:r>
        <w:rPr>
          <w:rFonts w:ascii="New Century Schoolbook" w:hAnsi="New Century Schoolbook" w:eastAsia="New Century Schoolbook" w:cs="New Century Schoolbook"/>
          <w:b w:val="0"/>
          <w:i w:val="0"/>
          <w:color w:val="000000"/>
          <w:sz w:val="22"/>
        </w:rPr>
        <w:t>D</w:t>
      </w:r>
    </w:p>
    <w:p>
      <w:pPr>
        <w:pStyle w:val="OpinionBody"/>
        <w:keepNext w:val="0"/>
        <w:keepLines w:val="0"/>
      </w:pPr>
      <w:r>
        <w:rPr>
          <w:rFonts w:ascii="New Century Schoolbook" w:hAnsi="New Century Schoolbook" w:eastAsia="New Century Schoolbook" w:cs="New Century Schoolbook"/>
          <w:b w:val="0"/>
          <w:i w:val="0"/>
          <w:color w:val="000000"/>
          <w:sz w:val="22"/>
        </w:rPr>
        <w:t>Within 300 feet of the clinic, petitioners may not physically approach a person seeking clinic services unless that person first indicates a desire to communicate. The record explains the concern. The findings include persons running beside vehicles, pushing literature through windows, following patients and staff, tracing license plates, and persisting in unwanted encounters. Florida may prohibit threats, touching, crowding, obstruction, stalking, and pursuit that continues after a clear refusal. The unchallenged provisions already reach several of those acts.</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clause does more. It makes prior invitation a condition of every physical approach throughout a 300-foot area, including a peaceful attempt to hand a leaflet to a willing passerby or to begin an ordinary sidewalk conversation. The choice whether to receive a communication ordinarily rests with the listener, not with government acting in advance for every listener. See </w:t>
      </w:r>
      <w:r>
        <w:rPr>
          <w:rFonts w:ascii="New Century Schoolbook" w:hAnsi="New Century Schoolbook" w:eastAsia="New Century Schoolbook" w:cs="New Century Schoolbook"/>
          <w:b w:val="0"/>
          <w:i/>
          <w:color w:val="000000"/>
          <w:sz w:val="22"/>
        </w:rPr>
        <w:t>Martin v. City of Struthers</w:t>
      </w:r>
      <w:r>
        <w:rPr>
          <w:rFonts w:ascii="New Century Schoolbook" w:hAnsi="New Century Schoolbook" w:eastAsia="New Century Schoolbook" w:cs="New Century Schoolbook"/>
          <w:b w:val="0"/>
          <w:i w:val="0"/>
          <w:color w:val="000000"/>
          <w:sz w:val="22"/>
        </w:rPr>
        <w:t>, 319 U. S. 141, 143, 146–149 (1943). A person remains free to decline, and an advocate may be required to respect that decision. Silence before an approach, however, does not prove coercion.</w:t>
      </w:r>
    </w:p>
    <w:p>
      <w:pPr>
        <w:pStyle w:val="OpinionBody"/>
        <w:keepNext w:val="0"/>
        <w:keepLines w:val="0"/>
      </w:pPr>
      <w:r>
        <w:rPr>
          <w:rFonts w:ascii="New Century Schoolbook" w:hAnsi="New Century Schoolbook" w:eastAsia="New Century Schoolbook" w:cs="New Century Schoolbook"/>
          <w:b w:val="0"/>
          <w:i w:val="0"/>
          <w:color w:val="000000"/>
          <w:sz w:val="22"/>
        </w:rPr>
        <w:t>Nothing in the findings establishes that each approach at every point within the radius is threatening, obstructive, or persistent, or that less burdensome commands directed to the acts found would fail. The State’s legitimate interest in preventing intimidation cannot be converted into a requirement that peaceful public-forum speech occur only by advance permission of its audience. The 300-foot no-approach provision burdens more speech than necessary and must be vacated.</w:t>
      </w:r>
    </w:p>
    <w:p>
      <w:pPr>
        <w:pStyle w:val="SectionHeading"/>
      </w:pPr>
      <w:r>
        <w:rPr>
          <w:rFonts w:ascii="New Century Schoolbook" w:hAnsi="New Century Schoolbook" w:eastAsia="New Century Schoolbook" w:cs="New Century Schoolbook"/>
          <w:b w:val="0"/>
          <w:i w:val="0"/>
          <w:color w:val="000000"/>
          <w:sz w:val="22"/>
        </w:rPr>
        <w:t>E</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final territorial restriction surrounds clinic employees’ homes. Within 300 feet it bars approaching, congregating, picketing, patrolling, demonstrating, and using sound amplification. The interest in residential privacy is substantial. A person within the home should not be made captive to focused picketing directed at that residence. </w:t>
      </w:r>
      <w:r>
        <w:rPr>
          <w:rFonts w:ascii="New Century Schoolbook" w:hAnsi="New Century Schoolbook" w:eastAsia="New Century Schoolbook" w:cs="New Century Schoolbook"/>
          <w:b w:val="0"/>
          <w:i/>
          <w:color w:val="000000"/>
          <w:sz w:val="22"/>
        </w:rPr>
        <w:t>Frisby v. Schultz</w:t>
      </w:r>
      <w:r>
        <w:rPr>
          <w:rFonts w:ascii="New Century Schoolbook" w:hAnsi="New Century Schoolbook" w:eastAsia="New Century Schoolbook" w:cs="New Century Schoolbook"/>
          <w:b w:val="0"/>
          <w:i w:val="0"/>
          <w:color w:val="000000"/>
          <w:sz w:val="22"/>
        </w:rPr>
        <w:t>, 487 U. S. 474, 483–484 (1988).</w:t>
      </w:r>
    </w:p>
    <w:p>
      <w:pPr>
        <w:pStyle w:val="OpinionBody"/>
        <w:keepNext w:val="0"/>
        <w:keepLines w:val="0"/>
      </w:pPr>
      <w:r>
        <w:rPr>
          <w:rFonts w:ascii="New Century Schoolbook" w:hAnsi="New Century Schoolbook" w:eastAsia="New Century Schoolbook" w:cs="New Century Schoolbook"/>
          <w:b w:val="0"/>
          <w:i/>
          <w:color w:val="000000"/>
          <w:sz w:val="22"/>
        </w:rPr>
        <w:t>Frisby</w:t>
      </w:r>
      <w:r>
        <w:rPr>
          <w:rFonts w:ascii="New Century Schoolbook" w:hAnsi="New Century Schoolbook" w:eastAsia="New Century Schoolbook" w:cs="New Century Schoolbook"/>
          <w:b w:val="0"/>
          <w:i w:val="0"/>
          <w:color w:val="000000"/>
          <w:sz w:val="22"/>
        </w:rPr>
        <w:t xml:space="preserve"> sustained a prohibition confined to picketing focused upon a particular home. It did not remove public streets, neighboring property, or speech to an entire block from the traditional forum. This order would reach a peaceful marcher passing through an adjoining street, a speaker addressing neighbors who remain willing listeners, and expression unconnected to the targeted conduct. Its 300-foot radius is not tied to sound level, duration, number of persons, time of day, or the location of the audience.</w:t>
      </w:r>
    </w:p>
    <w:p>
      <w:pPr>
        <w:pStyle w:val="OpinionBody"/>
        <w:keepNext w:val="0"/>
        <w:keepLines w:val="0"/>
      </w:pPr>
      <w:r>
        <w:rPr>
          <w:rFonts w:ascii="New Century Schoolbook" w:hAnsi="New Century Schoolbook" w:eastAsia="New Century Schoolbook" w:cs="New Century Schoolbook"/>
          <w:b w:val="0"/>
          <w:i w:val="0"/>
          <w:color w:val="000000"/>
          <w:sz w:val="22"/>
        </w:rPr>
        <w:t>The findings permit effective narrower relief. The court may prohibit obstruction of residential access, threats, stalking, excessive sound, and focused picketing reasonably confined by time, duration, number, and location. It may protect children and occupants against proved harassment. Those remedies answer conduct; a general exclusion of all listed expression from the surrounding neighborhood does not. The residential zone burdens substantially more speech than necessary and must be vacated.</w:t>
      </w:r>
    </w:p>
    <w:p>
      <w:pPr>
        <w:pStyle w:val="SectionHeading"/>
      </w:pPr>
      <w:r>
        <w:rPr>
          <w:rFonts w:ascii="New Century Schoolbook" w:hAnsi="New Century Schoolbook" w:eastAsia="New Century Schoolbook" w:cs="New Century Schoolbook"/>
          <w:b w:val="0"/>
          <w:i w:val="0"/>
          <w:color w:val="000000"/>
          <w:sz w:val="22"/>
        </w:rPr>
        <w:t>F</w:t>
      </w:r>
    </w:p>
    <w:p>
      <w:pPr>
        <w:pStyle w:val="OpinionBody"/>
        <w:keepNext w:val="0"/>
        <w:keepLines w:val="0"/>
      </w:pPr>
      <w:r>
        <w:rPr>
          <w:rFonts w:ascii="New Century Schoolbook" w:hAnsi="New Century Schoolbook" w:eastAsia="New Century Schoolbook" w:cs="New Century Schoolbook"/>
          <w:b w:val="0"/>
          <w:i w:val="0"/>
          <w:color w:val="000000"/>
          <w:sz w:val="22"/>
        </w:rPr>
        <w:t>The amended injunction is organized as discrete numbered commands governing separate places and acts. The entrance-and-driveway boundary secures ingress and egress; the procedure-time noise limit protects medical treatment. Each operates without the private-property extension, images clause, no-approach term, or residential radius. The findings likewise treat access and procedure-time quiet as independent injuries. Partial invalidity therefore need not collapse the whole decree.</w:t>
      </w:r>
    </w:p>
    <w:p>
      <w:pPr>
        <w:pStyle w:val="OpinionBody"/>
        <w:keepNext w:val="0"/>
        <w:keepLines w:val="0"/>
      </w:pPr>
      <w:r>
        <w:rPr>
          <w:rFonts w:ascii="New Century Schoolbook" w:hAnsi="New Century Schoolbook" w:eastAsia="New Century Schoolbook" w:cs="New Century Schoolbook"/>
          <w:b w:val="0"/>
          <w:i w:val="0"/>
          <w:color w:val="000000"/>
          <w:sz w:val="22"/>
        </w:rPr>
        <w:t>Section 2106 permits this Court to affirm, vacate, or reverse a state judgment and to remand for further proceedings. 28 U. S. C. § 2106. The federal holding is provision-specific. The decree remains a Florida instrument. We vacate the judgment insofar as it approved the commands that lack the required fit, affirm it insofar as it approved the entrance-and-driveway application of the 36-foot zone and the procedure-time noise provision, and remand so that the issuing court may enter an order whose text conforms to those limits. We do not supply the new wording.</w:t>
      </w:r>
    </w:p>
    <w:p>
      <w:pPr>
        <w:pStyle w:val="SectionHeading"/>
      </w:pPr>
      <w:r>
        <w:rPr>
          <w:rFonts w:ascii="New Century Schoolbook" w:hAnsi="New Century Schoolbook" w:eastAsia="New Century Schoolbook" w:cs="New Century Schoolbook"/>
          <w:b w:val="0"/>
          <w:i w:val="0"/>
          <w:color w:val="000000"/>
          <w:sz w:val="22"/>
        </w:rPr>
        <w:t>IV</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amended order applies to the named parties and to persons acting “in concert or participation” with them who receive actual notice. Petitioners may not obtain an advisory judgment determining the contempt liability of absent persons in hypothetical circumstances, and the phrase is not at their behest an overbreadth vehicle. See </w:t>
      </w:r>
      <w:r>
        <w:rPr>
          <w:rFonts w:ascii="New Century Schoolbook" w:hAnsi="New Century Schoolbook" w:eastAsia="New Century Schoolbook" w:cs="New Century Schoolbook"/>
          <w:b w:val="0"/>
          <w:i/>
          <w:color w:val="000000"/>
          <w:sz w:val="22"/>
        </w:rPr>
        <w:t>Regal Knitwear Co. v. NLRB</w:t>
      </w:r>
      <w:r>
        <w:rPr>
          <w:rFonts w:ascii="New Century Schoolbook" w:hAnsi="New Century Schoolbook" w:eastAsia="New Century Schoolbook" w:cs="New Century Schoolbook"/>
          <w:b w:val="0"/>
          <w:i w:val="0"/>
          <w:color w:val="000000"/>
          <w:sz w:val="22"/>
        </w:rPr>
        <w:t>, 324 U. S. 9, 14–15 (1945). They nevertheless press a First Amendment claim of their own: that an unbounded reading chills their lawful association and exposes them to contempt for parallel advocacy they neither direct nor control. That claim is before us.</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We resolve it by construction before invalidation. Florida Rule of Civil Procedure 1.610(c) provides the controlling text. It confines an injunction to the parties; their officers, agents, servants, employees, and attorneys; and persons in active concert or participation with them who receive actual notice. Fla. Rule Civ. Proc. 1.610(c); see </w:t>
      </w:r>
      <w:r>
        <w:rPr>
          <w:rFonts w:ascii="New Century Schoolbook" w:hAnsi="New Century Schoolbook" w:eastAsia="New Century Schoolbook" w:cs="New Century Schoolbook"/>
          <w:b w:val="0"/>
          <w:i/>
          <w:color w:val="000000"/>
          <w:sz w:val="22"/>
        </w:rPr>
        <w:t>In re Amendments to Florida Rules of Civil Procedure</w:t>
      </w:r>
      <w:r>
        <w:rPr>
          <w:rFonts w:ascii="New Century Schoolbook" w:hAnsi="New Century Schoolbook" w:eastAsia="New Century Schoolbook" w:cs="New Century Schoolbook"/>
          <w:b w:val="0"/>
          <w:i w:val="0"/>
          <w:color w:val="000000"/>
          <w:sz w:val="22"/>
        </w:rPr>
        <w:t>, 604 So. 2d 1110 (Fla. 1992) (appendix). The language follows the traditional rule reflected in Federal Rule of Civil Procedure 65(d). It prevents a party from nullifying a decree through an aider or proxy; it does not make the injunction law for the world.</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A nonparty who assists an enjoined person in violating a decree may be reached, but an independent actor whose rights have not been adjudged may not be punished merely for doing the same thing. </w:t>
      </w:r>
      <w:r>
        <w:rPr>
          <w:rFonts w:ascii="New Century Schoolbook" w:hAnsi="New Century Schoolbook" w:eastAsia="New Century Schoolbook" w:cs="New Century Schoolbook"/>
          <w:b w:val="0"/>
          <w:i/>
          <w:color w:val="000000"/>
          <w:sz w:val="22"/>
        </w:rPr>
        <w:t>Regal Knitwear</w:t>
      </w:r>
      <w:r>
        <w:rPr>
          <w:rFonts w:ascii="New Century Schoolbook" w:hAnsi="New Century Schoolbook" w:eastAsia="New Century Schoolbook" w:cs="New Century Schoolbook"/>
          <w:b w:val="0"/>
          <w:i w:val="0"/>
          <w:color w:val="000000"/>
          <w:sz w:val="22"/>
        </w:rPr>
        <w:t xml:space="preserve">, </w:t>
      </w:r>
      <w:r>
        <w:rPr>
          <w:rFonts w:ascii="New Century Schoolbook" w:hAnsi="New Century Schoolbook" w:eastAsia="New Century Schoolbook" w:cs="New Century Schoolbook"/>
          <w:b w:val="0"/>
          <w:i/>
          <w:color w:val="000000"/>
          <w:sz w:val="22"/>
        </w:rPr>
        <w:t>supra</w:t>
      </w:r>
      <w:r>
        <w:rPr>
          <w:rFonts w:ascii="New Century Schoolbook" w:hAnsi="New Century Schoolbook" w:eastAsia="New Century Schoolbook" w:cs="New Century Schoolbook"/>
          <w:b w:val="0"/>
          <w:i w:val="0"/>
          <w:color w:val="000000"/>
          <w:sz w:val="22"/>
        </w:rPr>
        <w:t xml:space="preserve">, at 13–15; </w:t>
      </w:r>
      <w:r>
        <w:rPr>
          <w:rFonts w:ascii="New Century Schoolbook" w:hAnsi="New Century Schoolbook" w:eastAsia="New Century Schoolbook" w:cs="New Century Schoolbook"/>
          <w:b w:val="0"/>
          <w:i/>
          <w:color w:val="000000"/>
          <w:sz w:val="22"/>
        </w:rPr>
        <w:t>Alemite Mfg. Corp. v. Staff</w:t>
      </w:r>
      <w:r>
        <w:rPr>
          <w:rFonts w:ascii="New Century Schoolbook" w:hAnsi="New Century Schoolbook" w:eastAsia="New Century Schoolbook" w:cs="New Century Schoolbook"/>
          <w:b w:val="0"/>
          <w:i w:val="0"/>
          <w:color w:val="000000"/>
          <w:sz w:val="22"/>
        </w:rPr>
        <w:t xml:space="preserve">, 42 F. 2d 832, 832–833 (CA2 1930) (L. Hand, J.); </w:t>
      </w:r>
      <w:r>
        <w:rPr>
          <w:rFonts w:ascii="New Century Schoolbook" w:hAnsi="New Century Schoolbook" w:eastAsia="New Century Schoolbook" w:cs="New Century Schoolbook"/>
          <w:b w:val="0"/>
          <w:i/>
          <w:color w:val="000000"/>
          <w:sz w:val="22"/>
        </w:rPr>
        <w:t>Waffenschmidt v. MacKay</w:t>
      </w:r>
      <w:r>
        <w:rPr>
          <w:rFonts w:ascii="New Century Schoolbook" w:hAnsi="New Century Schoolbook" w:eastAsia="New Century Schoolbook" w:cs="New Century Schoolbook"/>
          <w:b w:val="0"/>
          <w:i w:val="0"/>
          <w:color w:val="000000"/>
          <w:sz w:val="22"/>
        </w:rPr>
        <w:t xml:space="preserve">, 763 F. 2d 711, 714 (CA5 1985). We therefore construe the decree to reach a nonparty only upon proof of actual notice of a specific surviving command and active coordination with, aid to, or participation with a named party in violating that command. Shared belief, organizational membership, presence at the same demonstration, or independently chosen parallel advocacy is not concert. Nor may concert be inferred from protected association alone. See </w:t>
      </w:r>
      <w:r>
        <w:rPr>
          <w:rFonts w:ascii="New Century Schoolbook" w:hAnsi="New Century Schoolbook" w:eastAsia="New Century Schoolbook" w:cs="New Century Schoolbook"/>
          <w:b w:val="0"/>
          <w:i/>
          <w:color w:val="000000"/>
          <w:sz w:val="22"/>
        </w:rPr>
        <w:t>NAACP v. Claiborne Hardware Co.</w:t>
      </w:r>
      <w:r>
        <w:rPr>
          <w:rFonts w:ascii="New Century Schoolbook" w:hAnsi="New Century Schoolbook" w:eastAsia="New Century Schoolbook" w:cs="New Century Schoolbook"/>
          <w:b w:val="0"/>
          <w:i w:val="0"/>
          <w:color w:val="000000"/>
          <w:sz w:val="22"/>
        </w:rPr>
        <w:t>, 458 U. S. 886, 918–920 (1982).</w:t>
      </w:r>
    </w:p>
    <w:p>
      <w:pPr>
        <w:pStyle w:val="OpinionBody"/>
        <w:keepNext w:val="0"/>
        <w:keepLines w:val="0"/>
      </w:pPr>
      <w:r>
        <w:rPr>
          <w:rFonts w:ascii="New Century Schoolbook" w:hAnsi="New Century Schoolbook" w:eastAsia="New Century Schoolbook" w:cs="New Century Schoolbook"/>
          <w:b w:val="0"/>
          <w:i w:val="0"/>
          <w:color w:val="000000"/>
          <w:sz w:val="22"/>
        </w:rPr>
        <w:t xml:space="preserve">The allocation of proof is necessary to make that construction real in petitioners’ associational activity. If a cited person must prove independence, common affiliation or presence becomes a reason for silence. Independence is the baseline, not an affirmative defense. The party invoking civil contempt bears the burden throughout and must establish, by clear and convincing evidence, actual notice, active concert or participation with a named party, and violation of a surviving command. See </w:t>
      </w:r>
      <w:r>
        <w:rPr>
          <w:rFonts w:ascii="New Century Schoolbook" w:hAnsi="New Century Schoolbook" w:eastAsia="New Century Schoolbook" w:cs="New Century Schoolbook"/>
          <w:b w:val="0"/>
          <w:i/>
          <w:color w:val="000000"/>
          <w:sz w:val="22"/>
        </w:rPr>
        <w:t>Johnson v. Bednar</w:t>
      </w:r>
      <w:r>
        <w:rPr>
          <w:rFonts w:ascii="New Century Schoolbook" w:hAnsi="New Century Schoolbook" w:eastAsia="New Century Schoolbook" w:cs="New Century Schoolbook"/>
          <w:b w:val="0"/>
          <w:i w:val="0"/>
          <w:color w:val="000000"/>
          <w:sz w:val="22"/>
        </w:rPr>
        <w:t>, 552 So. 2d 928, 929 (Fla. 4th DCA 1989), approved in relevant part, 573 So. 2d 822 (Fla. 1991).</w:t>
      </w:r>
      <w:r>
        <w:rPr>
          <w:rFonts w:ascii="New Century Schoolbook" w:hAnsi="New Century Schoolbook" w:eastAsia="New Century Schoolbook" w:cs="New Century Schoolbook"/>
          <w:b w:val="0"/>
          <w:i w:val="0"/>
          <w:color w:val="000000"/>
          <w:sz w:val="22"/>
        </w:rPr>
        <w:t/>
      </w:r>
      <w:r>
        <w:rPr>
          <w:rStyle w:val="FootnoteReference"/>
        </w:rPr>
        <w:footnoteReference w:id="22"/>
      </w:r>
    </w:p>
    <w:p>
      <w:pPr>
        <w:pStyle w:val="OpinionBody"/>
        <w:keepNext w:val="0"/>
        <w:keepLines w:val="0"/>
      </w:pPr>
      <w:r>
        <w:rPr>
          <w:rFonts w:ascii="New Century Schoolbook" w:hAnsi="New Century Schoolbook" w:eastAsia="New Century Schoolbook" w:cs="New Century Schoolbook"/>
          <w:b w:val="0"/>
          <w:i w:val="0"/>
          <w:color w:val="000000"/>
          <w:sz w:val="22"/>
        </w:rPr>
        <w:t>No person may be held in contempt for assisting conduct prohibited only by a provision we vacate. Concert must concern an act the remaining decree validly forbids, such as obstruction of an entrance, a threat, trespass, or procedure-time sound audible within the clinic. Read in this manner, the clause prevents evasion without converting petitioners’ association into contempt or independent advocacy into disobedience.</w:t>
      </w:r>
    </w:p>
    <w:p>
      <w:pPr>
        <w:pStyle w:val="OpinionBody"/>
        <w:keepNext w:val="0"/>
        <w:keepLines/>
        <w:spacing w:before="264"/>
      </w:pPr>
      <w:r>
        <w:rPr>
          <w:rFonts w:ascii="New Century Schoolbook" w:hAnsi="New Century Schoolbook" w:eastAsia="New Century Schoolbook" w:cs="New Century Schoolbook"/>
          <w:b w:val="0"/>
          <w:i w:val="0"/>
          <w:color w:val="000000"/>
          <w:sz w:val="22"/>
        </w:rPr>
        <w:t>The judgment of the Supreme Court of Florida is affirmed insofar as it sustains the entrance-and-driveway application of the 36-foot zone and the procedure-time noise provision. It is vacated insofar as it sustains the extension over private property north and west of the clinic, the prohibition on images observable by patients inside, the 300-foot no-approach provision, and the 300-foot residential zone. The case is remanded for further proceedings consistent with this opinion.</w:t>
      </w:r>
    </w:p>
    <w:p>
      <w:pPr>
        <w:pStyle w:val="OpinionBody"/>
        <w:keepNext w:val="0"/>
        <w:keepLines/>
        <w:spacing w:before="80"/>
        <w:ind w:firstLine="0"/>
      </w:pPr>
      <w:r>
        <w:rPr>
          <w:rFonts w:ascii="New Century Schoolbook" w:hAnsi="New Century Schoolbook" w:eastAsia="New Century Schoolbook" w:cs="New Century Schoolbook"/>
          <w:b w:val="0"/>
          <w:i w:val="0"/>
          <w:color w:val="000000"/>
          <w:sz w:val="22"/>
        </w:rPr>
        <w:t>It is so ordered.</w:t>
      </w:r>
    </w:p>
    <w:sectPr w:rsidR="00FC693F" w:rsidRPr="0006063C" w:rsidSect="00034616">
      <w:headerReference w:type="first" r:id="rId15"/>
      <w:headerReference w:type="default" r:id="rId16"/>
      <w:headerReference w:type="even" r:id="rId17"/>
      <w:footerReference w:type="first" r:id="rId18"/>
      <w:footerReference w:type="default" r:id="rId19"/>
      <w:footerReference w:type="even" r:id="rId20"/>
      <w:pgSz w:w="12240" w:h="15840"/>
      <w:pgMar w:top="3096" w:right="3096" w:bottom="2664" w:left="3096" w:header="2059" w:footer="792"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r="http://schemas.openxmlformats.org/officeDocument/2006/relationships">
  <w:footnote w:id="0" w:type="continuationSeparator">
    <w:p>
      <w:r>
        <w:continuationSeparator/>
      </w:r>
    </w:p>
  </w:footnote>
  <w:footnote w:id="-1" w:type="separator">
    <w:p>
      <w:r>
        <w:separator/>
      </w:r>
    </w:p>
  </w:footnote>
  <w:footnote w:id="20">
    <w:p>
      <w:pPr>
        <w:pStyle w:val="FootnoteText"/>
        <w:spacing w:before="0" w:after="0" w:line="216" w:lineRule="exact"/>
        <w:tabs>
          <w:tab w:val="left" w:pos="240"/>
        </w:tabs>
        <w:jc w:val="both"/>
      </w:pPr>
      <w:r>
        <w:rPr>
          <w:rStyle w:val="FootnoteReference"/>
        </w:rPr>
        <w:footnoteRef/>
      </w:r>
      <w:r>
        <w:tab/>
      </w:r>
      <w:r>
        <w:rPr>
          <w:rFonts w:ascii="New Century Schoolbook" w:hAnsi="New Century Schoolbook" w:eastAsia="New Century Schoolbook" w:cs="New Century Schoolbook"/>
          <w:sz w:val="18"/>
          <w:szCs w:val="18"/>
        </w:rPr>
        <w:t xml:space="preserve"> Petitioners rely on </w:t>
      </w:r>
      <w:r>
        <w:rPr>
          <w:rFonts w:ascii="New Century Schoolbook" w:hAnsi="New Century Schoolbook" w:eastAsia="New Century Schoolbook" w:cs="New Century Schoolbook"/>
          <w:sz w:val="18"/>
          <w:szCs w:val="18"/>
          <w:i/>
          <w:iCs/>
        </w:rPr>
        <w:t xml:space="preserve">New York Times Co. v. United States</w:t>
      </w:r>
      <w:r>
        <w:rPr>
          <w:rFonts w:ascii="New Century Schoolbook" w:hAnsi="New Century Schoolbook" w:eastAsia="New Century Schoolbook" w:cs="New Century Schoolbook"/>
          <w:sz w:val="18"/>
          <w:szCs w:val="18"/>
        </w:rPr>
        <w:t xml:space="preserve">, 403 U. S. 713 (1971), and </w:t>
      </w:r>
      <w:r>
        <w:rPr>
          <w:rFonts w:ascii="New Century Schoolbook" w:hAnsi="New Century Schoolbook" w:eastAsia="New Century Schoolbook" w:cs="New Century Schoolbook"/>
          <w:sz w:val="18"/>
          <w:szCs w:val="18"/>
          <w:i/>
          <w:iCs/>
        </w:rPr>
        <w:t xml:space="preserve">Vance v. Universal Amusement Co.</w:t>
      </w:r>
      <w:r>
        <w:rPr>
          <w:rFonts w:ascii="New Century Schoolbook" w:hAnsi="New Century Schoolbook" w:eastAsia="New Century Schoolbook" w:cs="New Century Schoolbook"/>
          <w:sz w:val="18"/>
          <w:szCs w:val="18"/>
        </w:rPr>
        <w:t xml:space="preserve">, 445 U. S. 308 (1980) (per curiam). Those cases concerned restraints imposed because of expression not yet adjudged unprotected. We need not attach a categorical label to every speech-related injunction; the contempt-backed character of this decree is reflected in the precision required below.</w:t>
      </w:r>
    </w:p>
  </w:footnote>
  <w:footnote w:id="21">
    <w:p>
      <w:pPr>
        <w:pStyle w:val="FootnoteText"/>
        <w:spacing w:before="0" w:after="0" w:line="216" w:lineRule="exact"/>
        <w:tabs>
          <w:tab w:val="left" w:pos="240"/>
        </w:tabs>
        <w:jc w:val="both"/>
      </w:pPr>
      <w:r>
        <w:rPr>
          <w:rStyle w:val="FootnoteReference"/>
        </w:rPr>
        <w:footnoteRef/>
      </w:r>
      <w:r>
        <w:tab/>
      </w:r>
      <w:r>
        <w:rPr>
          <w:rFonts w:ascii="New Century Schoolbook" w:hAnsi="New Century Schoolbook" w:eastAsia="New Century Schoolbook" w:cs="New Century Schoolbook"/>
          <w:sz w:val="18"/>
          <w:szCs w:val="18"/>
        </w:rPr>
        <w:t xml:space="preserve"> Petitioners opposed preparation of a full state appellate record and, for their facial challenge, assumed a factual basis for equitable relief. Appellants’ Motion in Response to Appellees’ Motion to Require Full Transcript and Record of Proceedings in No. 93‑00969 (Dist. Ct. App. Fla.), p. 2. We therefore accept the trial court’s findings rather than independently reweighing the videotape.</w:t>
      </w:r>
    </w:p>
  </w:footnote>
  <w:footnote w:id="22">
    <w:p>
      <w:pPr>
        <w:pStyle w:val="FootnoteText"/>
        <w:spacing w:before="0" w:after="0" w:line="216" w:lineRule="exact"/>
        <w:tabs>
          <w:tab w:val="left" w:pos="240"/>
        </w:tabs>
        <w:jc w:val="both"/>
      </w:pPr>
      <w:r>
        <w:rPr>
          <w:rStyle w:val="FootnoteReference"/>
        </w:rPr>
        <w:footnoteRef/>
      </w:r>
      <w:r>
        <w:tab/>
      </w:r>
      <w:r>
        <w:rPr>
          <w:rFonts w:ascii="New Century Schoolbook" w:hAnsi="New Century Schoolbook" w:eastAsia="New Century Schoolbook" w:cs="New Century Schoolbook"/>
          <w:sz w:val="18"/>
          <w:szCs w:val="18"/>
        </w:rPr>
        <w:t xml:space="preserve"> This allocation concerns civil contempt; criminal contempt remains distinct.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216"/>
      <w:tabs>
        <w:tab w:val="center" w:pos="3024"/>
        <w:tab w:val="right" w:pos="6048"/>
      </w:tabs>
    </w:pPr>
    <w:r>
      <w:rPr>
        <w:rFonts w:ascii="New Century Schoolbook" w:hAnsi="New Century Schoolbook" w:eastAsia="New Century Schoolbook" w:cs="New Century Schoolbook"/>
        <w:b w:val="0"/>
        <w:i w:val="0"/>
        <w:color w:val="000000"/>
        <w:sz w:val="14"/>
      </w:rPr>
      <w:t>(Slip Opinion)</w:t>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smallCaps w:val="1"/>
      </w:rPr>
      <w:t>OCTOBER TERM, 1993</w:t>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216"/>
      <w:tabs>
        <w:tab w:val="center" w:pos="3024"/>
        <w:tab w:val="right" w:pos="6048"/>
      </w:tabs>
    </w:pPr>
    <w:r>
      <w:rPr>
        <w:rFonts w:ascii="New Century Schoolbook" w:hAnsi="New Century Schoolbook" w:eastAsia="New Century Schoolbook" w:cs="New Century Schoolbook"/>
        <w:b w:val="0"/>
        <w:i/>
        <w:color w:val="000000"/>
        <w:sz w:val="18"/>
      </w:rPr>
      <w:t>Cite as: 512 U. S. ____ (1994)</w:t>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fldChar w:fldCharType="begin"/>
      <w:instrText xml:space="preserve"> PAGE </w:instrText>
      <w:fldChar w:fldCharType="separate"/>
      <w:t>1</w:t>
      <w:fldChar w:fldCharType="end"/>
    </w:r>
  </w:p>
  <w:p>
    <w:pPr>
      <w:spacing w:before="0" w:after="0" w:lineRule="exact" w:line="216"/>
      <w:jc w:val="center"/>
    </w:pPr>
    <w:r>
      <w:rPr>
        <w:rFonts w:ascii="New Century Schoolbook" w:hAnsi="New Century Schoolbook" w:eastAsia="New Century Schoolbook" w:cs="New Century Schoolbook"/>
        <w:b w:val="0"/>
        <w:i w:val="0"/>
        <w:color w:val="000000"/>
        <w:sz w:val="18"/>
      </w:rPr>
      <w:t>Syllabus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216"/>
      <w:tabs>
        <w:tab w:val="center" w:pos="3024"/>
        <w:tab w:val="right" w:pos="6048"/>
      </w:tabs>
    </w:pPr>
    <w:r>
      <w:rPr>
        <w:rFonts w:ascii="New Century Schoolbook" w:hAnsi="New Century Schoolbook" w:eastAsia="New Century Schoolbook" w:cs="New Century Schoolbook"/>
        <w:b w:val="0"/>
        <w:i w:val="0"/>
        <w:color w:val="000000"/>
        <w:sz w:val="18"/>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t>MADSEN v. WOMEN’S HEALTH CENTER, INC.</w:t>
    </w:r>
    <w:r>
      <w:rPr>
        <w:rFonts w:ascii="New Century Schoolbook" w:hAnsi="New Century Schoolbook" w:eastAsia="New Century Schoolbook" w:cs="New Century Schoolbook"/>
        <w:b w:val="0"/>
        <w:i w:val="0"/>
        <w:color w:val="000000"/>
        <w:sz w:val="18"/>
      </w:rPr>
      <w:tab/>
    </w:r>
  </w:p>
  <w:p>
    <w:pPr>
      <w:spacing w:before="0" w:after="0" w:lineRule="exact" w:line="216"/>
      <w:jc w:val="center"/>
    </w:pPr>
    <w:r>
      <w:rPr>
        <w:rFonts w:ascii="New Century Schoolbook" w:hAnsi="New Century Schoolbook" w:eastAsia="New Century Schoolbook" w:cs="New Century Schoolbook"/>
        <w:b w:val="0"/>
        <w:i w:val="0"/>
        <w:color w:val="000000"/>
        <w:sz w:val="18"/>
      </w:rPr>
      <w:t>Syllabus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216"/>
      <w:tabs>
        <w:tab w:val="center" w:pos="3024"/>
        <w:tab w:val="right" w:pos="6048"/>
      </w:tabs>
    </w:pPr>
    <w:r>
      <w:rPr>
        <w:rFonts w:ascii="New Century Schoolbook" w:hAnsi="New Century Schoolbook" w:eastAsia="New Century Schoolbook" w:cs="New Century Schoolbook"/>
        <w:b w:val="0"/>
        <w:i/>
        <w:color w:val="000000"/>
        <w:sz w:val="18"/>
      </w:rPr>
      <w:t>Cite as: 512 U. S. ____ (1994)</w:t>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fldChar w:fldCharType="begin"/>
      <w:instrText xml:space="preserve"> PAGE </w:instrText>
      <w:fldChar w:fldCharType="separate"/>
      <w:t>1</w:t>
      <w:fldChar w:fldCharType="end"/>
    </w:r>
  </w:p>
  <w:p>
    <w:pPr>
      <w:spacing w:before="0" w:after="0" w:lineRule="exact" w:line="216"/>
      <w:jc w:val="center"/>
    </w:pPr>
    <w:r>
      <w:rPr>
        <w:rFonts w:ascii="New Century Schoolbook" w:hAnsi="New Century Schoolbook" w:eastAsia="New Century Schoolbook" w:cs="New Century Schoolbook"/>
        <w:b w:val="0"/>
        <w:i w:val="0"/>
        <w:color w:val="000000"/>
        <w:sz w:val="18"/>
      </w:rPr>
      <w:t>Opinion of the Court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216"/>
      <w:tabs>
        <w:tab w:val="center" w:pos="3024"/>
        <w:tab w:val="right" w:pos="6048"/>
      </w:tabs>
    </w:pPr>
    <w:r>
      <w:rPr>
        <w:rFonts w:ascii="New Century Schoolbook" w:hAnsi="New Century Schoolbook" w:eastAsia="New Century Schoolbook" w:cs="New Century Schoolbook"/>
        <w:b w:val="0"/>
        <w:i/>
        <w:color w:val="000000"/>
        <w:sz w:val="18"/>
      </w:rPr>
      <w:t>Cite as: 512 U. S. ____ (1994)</w:t>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fldChar w:fldCharType="begin"/>
      <w:instrText xml:space="preserve"> PAGE </w:instrText>
      <w:fldChar w:fldCharType="separate"/>
      <w:t>1</w:t>
      <w:fldChar w:fldCharType="end"/>
    </w:r>
  </w:p>
  <w:p>
    <w:pPr>
      <w:spacing w:before="0" w:after="0" w:lineRule="exact" w:line="216"/>
      <w:jc w:val="center"/>
    </w:pPr>
    <w:r>
      <w:rPr>
        <w:rFonts w:ascii="New Century Schoolbook" w:hAnsi="New Century Schoolbook" w:eastAsia="New Century Schoolbook" w:cs="New Century Schoolbook"/>
        <w:b w:val="0"/>
        <w:i w:val="0"/>
        <w:color w:val="000000"/>
        <w:sz w:val="18"/>
      </w:rPr>
      <w:t>Opinion of the Court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216"/>
      <w:tabs>
        <w:tab w:val="center" w:pos="3024"/>
        <w:tab w:val="right" w:pos="6048"/>
      </w:tabs>
    </w:pPr>
    <w:r>
      <w:rPr>
        <w:rFonts w:ascii="New Century Schoolbook" w:hAnsi="New Century Schoolbook" w:eastAsia="New Century Schoolbook" w:cs="New Century Schoolbook"/>
        <w:b w:val="0"/>
        <w:i w:val="0"/>
        <w:color w:val="000000"/>
        <w:sz w:val="18"/>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8"/>
      </w:rPr>
      <w:tab/>
    </w:r>
    <w:r>
      <w:rPr>
        <w:rFonts w:ascii="New Century Schoolbook" w:hAnsi="New Century Schoolbook" w:eastAsia="New Century Schoolbook" w:cs="New Century Schoolbook"/>
        <w:b w:val="0"/>
        <w:i w:val="0"/>
        <w:color w:val="000000"/>
        <w:sz w:val="18"/>
      </w:rPr>
      <w:t>MADSEN v. WOMEN’S HEALTH CENTER, INC.</w:t>
    </w:r>
    <w:r>
      <w:rPr>
        <w:rFonts w:ascii="New Century Schoolbook" w:hAnsi="New Century Schoolbook" w:eastAsia="New Century Schoolbook" w:cs="New Century Schoolbook"/>
        <w:b w:val="0"/>
        <w:i w:val="0"/>
        <w:color w:val="000000"/>
        <w:sz w:val="18"/>
      </w:rPr>
      <w:tab/>
    </w:r>
  </w:p>
  <w:p>
    <w:pPr>
      <w:spacing w:before="0" w:after="0" w:lineRule="exact" w:line="216"/>
      <w:jc w:val="center"/>
    </w:pPr>
    <w:r>
      <w:rPr>
        <w:rFonts w:ascii="New Century Schoolbook" w:hAnsi="New Century Schoolbook" w:eastAsia="New Century Schoolbook" w:cs="New Century Schoolbook"/>
        <w:b w:val="0"/>
        <w:i w:val="0"/>
        <w:color w:val="000000"/>
        <w:sz w:val="18"/>
      </w:rPr>
      <w:t>Opinion of the Court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5A4D534E"/>
    <w:multiLevelType w:val="singleLevel"/>
    <w:lvl w:ilvl="0">
      <w:start w:val="1"/>
      <w:numFmt w:val="decimal"/>
      <w:lvlText w:val="%1."/>
      <w:suff w:val="tab"/>
      <w:pPr>
        <w:tabs>
          <w:tab w:val="num" w:pos="250"/>
        </w:tabs>
        <w:ind w:left="250" w:hanging="250"/>
      </w:pPr>
      <w:rPr>
        <w:rFonts w:ascii="New Century Schoolbook" w:hAnsi="New Century Schoolbook" w:eastAsia="New Century Schoolbook" w:cs="New Century Schoolbook"/>
        <w:sz w:val="18"/>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footnotePr>
    <w:footnote w:id="-1"/>
    <w:footnote w:id="0"/>
  </w:footnotePr>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64"/>
      <w:ind w:firstLine="220"/>
      <w:jc w:val="both"/>
    </w:pPr>
    <w:rPr>
      <w:rFonts w:ascii="New Century Schoolbook" w:hAnsi="New Century Schoolbook"/>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exact" w:before="0" w:after="0"/>
      <w:ind w:firstLine="0"/>
      <w:jc w:val="center"/>
    </w:pPr>
    <w:rPr>
      <w:rFonts w:ascii="New Century Schoolbook" w:hAnsi="New Century Schoolbook"/>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llabusBody">
    <w:name w:val="Syllabus Body"/>
    <w:basedOn w:val="Normal"/>
    <w:pPr>
      <w:spacing w:before="0" w:after="0" w:lineRule="exact" w:line="216"/>
      <w:ind w:firstLine="180"/>
      <w:jc w:val="both"/>
    </w:pPr>
    <w:rPr>
      <w:rFonts w:ascii="New Century Schoolbook" w:hAnsi="New Century Schoolbook"/>
      <w:sz w:val="18"/>
    </w:rPr>
  </w:style>
  <w:style w:type="paragraph" w:customStyle="1" w:styleId="SyllabusHolding">
    <w:name w:val="Syllabus Holding"/>
    <w:basedOn w:val="Normal"/>
    <w:pPr>
      <w:spacing w:before="0" w:after="0" w:lineRule="exact" w:line="216"/>
      <w:ind w:firstLine="0"/>
      <w:jc w:val="both"/>
    </w:pPr>
    <w:rPr>
      <w:rFonts w:ascii="New Century Schoolbook" w:hAnsi="New Century Schoolbook"/>
      <w:sz w:val="18"/>
    </w:rPr>
  </w:style>
  <w:style w:type="paragraph" w:customStyle="1" w:styleId="SyllabusSmall">
    <w:name w:val="Syllabus Small"/>
    <w:basedOn w:val="Normal"/>
    <w:pPr>
      <w:spacing w:before="0" w:after="0" w:lineRule="exact" w:line="168"/>
      <w:ind w:firstLine="0"/>
      <w:jc w:val="both"/>
    </w:pPr>
    <w:rPr>
      <w:rFonts w:ascii="New Century Schoolbook" w:hAnsi="New Century Schoolbook"/>
      <w:sz w:val="14"/>
    </w:rPr>
  </w:style>
  <w:style w:type="paragraph" w:customStyle="1" w:styleId="OpinionBody">
    <w:name w:val="Opinion Body"/>
    <w:basedOn w:val="Normal"/>
    <w:pPr>
      <w:spacing w:before="0" w:after="0" w:lineRule="exact" w:line="264"/>
      <w:ind w:firstLine="220"/>
      <w:jc w:val="both"/>
    </w:pPr>
    <w:rPr>
      <w:rFonts w:ascii="New Century Schoolbook" w:hAnsi="New Century Schoolbook"/>
      <w:sz w:val="22"/>
    </w:rPr>
  </w:style>
  <w:style w:type="paragraph" w:customStyle="1" w:styleId="CourtName">
    <w:name w:val="Court Name"/>
    <w:basedOn w:val="Normal"/>
    <w:pPr>
      <w:spacing w:before="0" w:after="0" w:lineRule="exact" w:line="324"/>
      <w:ind w:firstLine="0"/>
      <w:jc w:val="center"/>
    </w:pPr>
    <w:rPr>
      <w:rFonts w:ascii="New Century Schoolbook" w:hAnsi="New Century Schoolbook"/>
      <w:sz w:val="27"/>
    </w:rPr>
  </w:style>
  <w:style w:type="paragraph" w:customStyle="1" w:styleId="Jurisdiction">
    <w:name w:val="Jurisdiction"/>
    <w:basedOn w:val="Normal"/>
    <w:pPr>
      <w:spacing w:before="0" w:after="0" w:lineRule="exact" w:line="216"/>
      <w:ind w:firstLine="0"/>
      <w:jc w:val="center"/>
    </w:pPr>
    <w:rPr>
      <w:rFonts w:ascii="New Century Schoolbook" w:hAnsi="New Century Schoolbook"/>
      <w:sz w:val="18"/>
    </w:rPr>
  </w:style>
  <w:style w:type="paragraph" w:customStyle="1" w:styleId="SectionHeading">
    <w:name w:val="Section Heading"/>
    <w:basedOn w:val="Normal"/>
    <w:pPr>
      <w:keepNext/>
      <w:spacing w:before="264" w:after="264" w:lineRule="exact" w:line="264"/>
      <w:ind w:firstLine="0"/>
      <w:jc w:val="center"/>
    </w:pPr>
    <w:rPr>
      <w:rFonts w:ascii="New Century Schoolbook" w:hAnsi="New Century Schoolbook"/>
      <w:sz w:val="22"/>
    </w:rPr>
  </w:style>
  <w:style w:type="paragraph" w:customStyle="1" w:styleId="DeliveryLine">
    <w:name w:val="Delivery Line"/>
    <w:basedOn w:val="Normal"/>
    <w:pPr>
      <w:spacing w:before="0" w:after="0" w:lineRule="exact" w:line="264"/>
      <w:ind w:firstLine="0"/>
      <w:jc w:val="both"/>
    </w:pPr>
    <w:rPr>
      <w:rFonts w:ascii="New Century Schoolbook" w:hAnsi="New Century Schoolbook"/>
      <w:sz w:val="22"/>
    </w:rPr>
  </w:style>
  <w:style w:type="paragraph" w:customStyle="1" w:styleId="FootnoteText">
    <w:name w:val="Footnote Text"/>
    <w:basedOn w:val="Normal"/>
    <w:pPr>
      <w:widowControl w:val="0"/>
      <w:spacing w:before="0" w:after="0" w:lineRule="exact" w:line="216"/>
      <w:ind w:firstLine="0"/>
      <w:jc w:val="both"/>
    </w:pPr>
    <w:rPr>
      <w:rFonts w:ascii="New Century Schoolbook" w:hAnsi="New Century Schoolbook"/>
      <w:sz w:val="18"/>
    </w:rPr>
  </w:style>
  <w:style w:type="character" w:customStyle="1" w:styleId="FootnoteReference">
    <w:name w:val="Footnote Reference"/>
    <w:rPr>
      <w:rFonts w:ascii="New Century Schoolbook" w:hAnsi="New Century Schoolbook"/>
      <w:sz w:val="14"/>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5384</Words>
  <Characters>30221</Characters>
  <Application>Microsoft Word</Application>
  <DocSecurity>0</DocSecurity>
  <Lines>646</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Madsen v. Women’s Health Center, Inc. — Simulated Opinion</dc:title>
  <dc:subject>Simulated Supreme Court opinion, October Term 1993</dc:subject>
  <dc:creator>Supreme Court of the United States (simulation)</dc:creator>
  <cp:keywords>Madsen; injunction; First Amendment; simulation; 1994</cp:keywords>
  <dc:description>Complete counterfactual rewrite; authorities limited to those available by June 30, 1994.</dc:description>
  <cp:lastModifiedBy/>
  <cp:revision>1</cp:revision>
  <dcterms:created xsi:type="dcterms:W3CDTF">2013-12-23T23:15:00Z</dcterms:created>
  <dcterms:modified xsi:type="dcterms:W3CDTF">2013-12-23T23:15:00Z</dcterms:modified>
  <cp:category/>
</cp:coreProperties>
</file>