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0F766E"/>
          <w:sz w:val="56"/>
          <w:szCs w:val="56"/>
        </w:rPr>
        <w:t xml:space="preserve">GRAN PRIX CAPYTOWN</w:t>
      </w:r>
    </w:p>
    <w:p>
      <w:pPr>
        <w:spacing w:after="40"/>
      </w:pPr>
      <w:r>
        <w:rPr>
          <w:b/>
          <w:bCs/>
          <w:color w:val="0D9488"/>
          <w:sz w:val="36"/>
          <w:szCs w:val="36"/>
        </w:rPr>
        <w:t xml:space="preserve">El Qhapaq Ñan: El Laberinto del Chaski</w:t>
      </w:r>
    </w:p>
    <w:p>
      <w:pPr>
        <w:pBdr>
          <w:bottom w:val="single" w:color="B45309" w:sz="12" w:space="6"/>
        </w:pBdr>
        <w:spacing w:after="240"/>
      </w:pPr>
      <w:r>
        <w:rPr>
          <w:color w:val="64748B"/>
          <w:sz w:val="22"/>
          <w:szCs w:val="22"/>
        </w:rPr>
        <w:t xml:space="preserve">Reto Final del curso · Semana 15 · Escenario D — El Qhapaq Ñan</w:t>
      </w:r>
    </w:p>
    <w:p>
      <w:pPr>
        <w:spacing w:after="80"/>
      </w:pPr>
      <w:r>
        <w:rPr>
          <w:b/>
          <w:bCs/>
          <w:color w:val="334155"/>
          <w:sz w:val="22"/>
          <w:szCs w:val="22"/>
        </w:rPr>
        <w:t xml:space="preserve">Modalidad: </w:t>
      </w:r>
      <w:r>
        <w:rPr>
          <w:color w:val="1E293B"/>
          <w:sz w:val="22"/>
          <w:szCs w:val="22"/>
        </w:rPr>
        <w:t xml:space="preserve">Navegación autónoma en laberinto con FUSIÓN cámara + LiDAR · integra los 5 Retos Clasificatorios</w:t>
      </w:r>
    </w:p>
    <w:p>
      <w:pPr>
        <w:spacing w:after="80"/>
      </w:pPr>
      <w:r>
        <w:rPr>
          <w:b/>
          <w:bCs/>
          <w:color w:val="334155"/>
          <w:sz w:val="22"/>
          <w:szCs w:val="22"/>
        </w:rPr>
        <w:t xml:space="preserve">Pista: </w:t>
      </w:r>
      <w:r>
        <w:rPr>
          <w:color w:val="1E293B"/>
          <w:sz w:val="22"/>
          <w:szCs w:val="22"/>
        </w:rPr>
        <w:t xml:space="preserve">Laberinto de 360 × 240 cm · rejilla 6 × 4 (celdas de 60 cm) · paredes de MDF 30×60 cm</w:t>
      </w:r>
    </w:p>
    <w:p>
      <w:pPr>
        <w:spacing w:after="80"/>
      </w:pPr>
      <w:r>
        <w:rPr>
          <w:b/>
          <w:bCs/>
          <w:color w:val="334155"/>
          <w:sz w:val="22"/>
          <w:szCs w:val="22"/>
        </w:rPr>
        <w:t xml:space="preserve">Plano oficial: </w:t>
      </w:r>
      <w:r>
        <w:rPr>
          <w:color w:val="1E293B"/>
          <w:sz w:val="22"/>
          <w:szCs w:val="22"/>
        </w:rPr>
        <w:t xml:space="preserve">lidar/CapyTown_LaberintoGranPrix.svg</w:t>
      </w:r>
    </w:p>
    <w:p>
      <w:pPr>
        <w:spacing w:after="80" w:before="200"/>
        <w:jc w:val="center"/>
      </w:pPr>
      <w:r>
        <w:drawing>
          <wp:inline distT="0" distB="0" distL="0" distR="0">
            <wp:extent cx="5334000" cy="4848225"/>
            <wp:effectExtent t="0" r="0" b="0" l="0"/>
            <wp:docPr id="1" name="PlanoLaberinto" descr="Plano del laberinto del Gran Prix CapyTown con señales PARE" title="Plano del laberi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848225"/>
                    </a:xfrm>
                    <a:prstGeom prst="rect">
                      <a:avLst/>
                    </a:prstGeom>
                  </pic:spPr>
                </pic:pic>
              </a:graphicData>
            </a:graphic>
          </wp:inline>
        </w:drawing>
      </w:r>
    </w:p>
    <w:p>
      <w:pPr>
        <w:spacing w:after="120"/>
        <w:jc w:val="center"/>
      </w:pPr>
      <w:r>
        <w:rPr>
          <w:i/>
          <w:iCs/>
          <w:color w:val="64748B"/>
          <w:sz w:val="18"/>
          <w:szCs w:val="18"/>
        </w:rPr>
        <w:t xml:space="preserve">Plano oficial del laberinto — cámara + LiDAR, señales PARE colgadas con brazo de MDF.</w:t>
      </w:r>
    </w:p>
    <w:p>
      <w:pPr>
        <w:pBdr>
          <w:left w:val="single" w:color="0D9488" w:sz="18" w:space="12"/>
        </w:pBdr>
        <w:spacing w:after="160" w:before="120"/>
        <w:ind w:left="360"/>
      </w:pPr>
      <w:r>
        <w:rPr>
          <w:i/>
          <w:iCs/>
          <w:color w:val="334155"/>
        </w:rPr>
        <w:t xml:space="preserve">El Qhapaq Ñan era el gran camino inca: kilómetros de senderos que se bifurcaban entre montañas, con atajos, desvíos y caminos que no llevaban a ningún lado. En CapyTown, el Karpinchu Chaski debe cruzar el laberinto de tablas desde el tambo de partida hasta la huaca de llegada, eligiendo su ruta sin que nadie le diga por dónde. Pero el camino tiene reglas: en algunas esquinas hay una señal de PARE, y un buen chaski se detiene antes de seguir. No basta con llegar rápido: gana quien encuentra el camino más corto, respeta cada PARE y no tumba ni una pared.</w:t>
      </w:r>
    </w:p>
    <w:p>
      <w:pPr>
        <w:pStyle w:val="Heading1"/>
      </w:pPr>
      <w:r>
        <w:t xml:space="preserve">TPACK del Gran Prix</w:t>
      </w:r>
    </w:p>
    <w:p>
      <w:pPr>
        <w:spacing w:after="120"/>
      </w:pPr>
      <w:r>
        <w:rPr>
          <w:b/>
          <w:bCs/>
          <w:color w:val="0F766E"/>
        </w:rPr>
        <w:t xml:space="preserve">CK (Contenido) — </w:t>
      </w:r>
      <w:r>
        <w:t xml:space="preserve">Fusión sensorial cámara + LiDAR: el LiDAR aporta la geometría (paredes, intersecciones, callejones, distancias); la cámara aporta la </w:t>
      </w:r>
      <w:r>
        <w:rPr>
          <w:i/>
          <w:iCs/>
        </w:rPr>
        <w:t xml:space="preserve">semántica</w:t>
      </w:r>
      <w:r>
        <w:t xml:space="preserve"> (detectar la señal de PARE en una intersección). Seguimiento de pared (wall following) con control proporcional, detección de aperturas por discontinuidad de rango, detección de PARE por color/forma (HSV + contorno), arbitraje entre sensores, estimación de pose por odometría y métricas de tiempo, eficiencia de ruta y cumplimiento de reglas.</w:t>
      </w:r>
    </w:p>
    <w:p>
      <w:pPr>
        <w:spacing w:after="120"/>
      </w:pPr>
      <w:r>
        <w:rPr>
          <w:b/>
          <w:bCs/>
          <w:color w:val="0F766E"/>
        </w:rPr>
        <w:t xml:space="preserve">TK (Tecnología) — </w:t>
      </w:r>
      <w:r>
        <w:t xml:space="preserve">Reutilización de los nodos de los RC: </w:t>
      </w:r>
      <w:r>
        <w:rPr>
          <w:rFonts w:ascii="Consolas" w:cs="Consolas" w:eastAsia="Consolas" w:hAnsi="Consolas"/>
          <w:color w:val="B91C1C"/>
          <w:sz w:val="19"/>
          <w:szCs w:val="19"/>
        </w:rPr>
        <w:t xml:space="preserve">box_detector</w:t>
      </w:r>
      <w:r>
        <w:t xml:space="preserve"> (LiDAR/clustering), el detector de señales por cámara (PARE) del RC de visión y el estado de rodeo de </w:t>
      </w:r>
      <w:r>
        <w:rPr>
          <w:rFonts w:ascii="Consolas" w:cs="Consolas" w:eastAsia="Consolas" w:hAnsi="Consolas"/>
          <w:color w:val="B91C1C"/>
          <w:sz w:val="19"/>
          <w:szCs w:val="19"/>
        </w:rPr>
        <w:t xml:space="preserve">behavior_fsm</w:t>
      </w:r>
      <w:r>
        <w:t xml:space="preserve">. Nuevo nodo </w:t>
      </w:r>
      <w:r>
        <w:rPr>
          <w:rFonts w:ascii="Consolas" w:cs="Consolas" w:eastAsia="Consolas" w:hAnsi="Consolas"/>
          <w:color w:val="B91C1C"/>
          <w:sz w:val="19"/>
          <w:szCs w:val="19"/>
        </w:rPr>
        <w:t xml:space="preserve">maze_solver</w:t>
      </w:r>
      <w:r>
        <w:t xml:space="preserve"> con su FSM de navegación, suscrito a </w:t>
      </w:r>
      <w:r>
        <w:rPr>
          <w:rFonts w:ascii="Consolas" w:cs="Consolas" w:eastAsia="Consolas" w:hAnsi="Consolas"/>
          <w:color w:val="B91C1C"/>
          <w:sz w:val="19"/>
          <w:szCs w:val="19"/>
        </w:rPr>
        <w:t xml:space="preserve">/scan</w:t>
      </w:r>
      <w:r>
        <w:t xml:space="preserve">, </w:t>
      </w:r>
      <w:r>
        <w:rPr>
          <w:rFonts w:ascii="Consolas" w:cs="Consolas" w:eastAsia="Consolas" w:hAnsi="Consolas"/>
          <w:color w:val="B91C1C"/>
          <w:sz w:val="19"/>
          <w:szCs w:val="19"/>
        </w:rPr>
        <w:t xml:space="preserve">/odom</w:t>
      </w:r>
      <w:r>
        <w:t xml:space="preserve"> y al tópico de detección de PARE de la cámara, publicando </w:t>
      </w:r>
      <w:r>
        <w:rPr>
          <w:rFonts w:ascii="Consolas" w:cs="Consolas" w:eastAsia="Consolas" w:hAnsi="Consolas"/>
          <w:color w:val="B91C1C"/>
          <w:sz w:val="19"/>
          <w:szCs w:val="19"/>
        </w:rPr>
        <w:t xml:space="preserve">/cmd_vel</w:t>
      </w:r>
      <w:r>
        <w:t xml:space="preserve">. Registro en </w:t>
      </w:r>
      <w:r>
        <w:rPr>
          <w:rFonts w:ascii="Consolas" w:cs="Consolas" w:eastAsia="Consolas" w:hAnsi="Consolas"/>
          <w:color w:val="B91C1C"/>
          <w:sz w:val="19"/>
          <w:szCs w:val="19"/>
        </w:rPr>
        <w:t xml:space="preserve">metricas_granprix.csv</w:t>
      </w:r>
      <w:r>
        <w:t xml:space="preserve">, visualización en RViz (trayectoria </w:t>
      </w:r>
      <w:r>
        <w:rPr>
          <w:rFonts w:ascii="Consolas" w:cs="Consolas" w:eastAsia="Consolas" w:hAnsi="Consolas"/>
          <w:color w:val="B91C1C"/>
          <w:sz w:val="19"/>
          <w:szCs w:val="19"/>
        </w:rPr>
        <w:t xml:space="preserve">/odom</w:t>
      </w:r>
      <w:r>
        <w:t xml:space="preserve"> + markers de intersecciones y PARE).</w:t>
      </w:r>
    </w:p>
    <w:p>
      <w:pPr>
        <w:spacing w:after="120"/>
      </w:pPr>
      <w:r>
        <w:rPr>
          <w:b/>
          <w:bCs/>
          <w:color w:val="0F766E"/>
        </w:rPr>
        <w:t xml:space="preserve">PK (Pedagogía) — </w:t>
      </w:r>
      <w:r>
        <w:t xml:space="preserve">Es la integración final: cada grupo demuestra el dominio de lo construido en el semestre (percepción LiDAR, percepción cámara, control y comportamiento) </w:t>
      </w:r>
      <w:r>
        <w:rPr>
          <w:b/>
          <w:bCs/>
        </w:rPr>
        <w:t xml:space="preserve">sin escribir percepción nueva</w:t>
      </w:r>
      <w:r>
        <w:t xml:space="preserve">, solo fusionándola. Estrategia antes de competir, evidencia del proceso (</w:t>
      </w:r>
      <w:r>
        <w:rPr>
          <w:rFonts w:ascii="Consolas" w:cs="Consolas" w:eastAsia="Consolas" w:hAnsi="Consolas"/>
          <w:color w:val="B91C1C"/>
          <w:sz w:val="19"/>
          <w:szCs w:val="19"/>
        </w:rPr>
        <w:t xml:space="preserve">ros2 bag</w:t>
      </w:r>
      <w:r>
        <w:t xml:space="preserve">) y defensa individual por rol (Quipu). La mejora se argumenta con métricas comparadas, no por intuición.</w:t>
      </w:r>
    </w:p>
    <w:p>
      <w:pPr>
        <w:pStyle w:val="Heading1"/>
      </w:pPr>
      <w:r>
        <w:t xml:space="preserve">Objetivo</w:t>
      </w:r>
    </w:p>
    <w:p>
      <w:pPr>
        <w:spacing w:after="120"/>
      </w:pPr>
      <w:r>
        <w:t xml:space="preserve">Que el robot (</w:t>
      </w:r>
      <w:r>
        <w:rPr>
          <w:i/>
          <w:iCs/>
        </w:rPr>
        <w:t xml:space="preserve">Karpinchu Chaski</w:t>
      </w:r>
      <w:r>
        <w:t xml:space="preserve">) recorra </w:t>
      </w:r>
      <w:r>
        <w:rPr>
          <w:b/>
          <w:bCs/>
        </w:rPr>
        <w:t xml:space="preserve">de forma totalmente autónoma</w:t>
      </w:r>
      <w:r>
        <w:t xml:space="preserve"> el laberinto desde la celda de INICIO (esquina inferior izquierda) hasta la celda META (esquina superior derecha), eligiendo su propia ruta entre las múltiples rutas válidas, en el menor tiempo y con la ruta más corta posible, sin colisiones y respetando las señales de PARE que encuentre en las intersecciones.</w:t>
      </w:r>
    </w:p>
    <w:p>
      <w:pPr>
        <w:spacing w:after="120"/>
      </w:pPr>
      <w:r>
        <w:t xml:space="preserve">La navegación geométrica se resuelve con el LiDAR MS200; el cumplimiento de las señales PARE se resuelve con la cámara. El reto exige que ambos sensores trabajen fusionados: el LiDAR mueve al robot por los pasillos y la cámara decide cuándo debe detenerse.</w:t>
      </w:r>
    </w:p>
    <w:p>
      <w:pPr>
        <w:pStyle w:val="Heading1"/>
      </w:pPr>
      <w:r>
        <w:t xml:space="preserve">La pista — El Laberinto del Chaski</w:t>
      </w:r>
    </w:p>
    <w:p>
      <w:pPr>
        <w:pStyle w:val="ListParagraph"/>
        <w:numPr>
          <w:ilvl w:val="0"/>
          <w:numId w:val="2"/>
        </w:numPr>
        <w:spacing w:after="60"/>
      </w:pPr>
      <w:r>
        <w:rPr>
          <w:b/>
          <w:bCs/>
        </w:rPr>
        <w:t xml:space="preserve">Dimensiones: </w:t>
      </w:r>
      <w:r>
        <w:t xml:space="preserve">360 × 240 cm. Rejilla 6 × 4 celdas de 60 cm (24 celdas). Pasillos de 60 cm.</w:t>
      </w:r>
    </w:p>
    <w:p>
      <w:pPr>
        <w:pStyle w:val="ListParagraph"/>
        <w:numPr>
          <w:ilvl w:val="0"/>
          <w:numId w:val="2"/>
        </w:numPr>
        <w:spacing w:after="60"/>
      </w:pPr>
      <w:r>
        <w:rPr>
          <w:b/>
          <w:bCs/>
        </w:rPr>
        <w:t xml:space="preserve">Paredes: </w:t>
      </w:r>
      <w:r>
        <w:t xml:space="preserve">tablas de MDF de 30×60 cm puestas de canto. ~31 tablas (18 perímetro + 12 internas + 2 medias como stubs/chicanes).</w:t>
      </w:r>
    </w:p>
    <w:p>
      <w:pPr>
        <w:pStyle w:val="ListParagraph"/>
        <w:numPr>
          <w:ilvl w:val="0"/>
          <w:numId w:val="2"/>
        </w:numPr>
        <w:spacing w:after="60"/>
      </w:pPr>
      <w:r>
        <w:rPr>
          <w:b/>
          <w:bCs/>
        </w:rPr>
        <w:t xml:space="preserve">Inicio: </w:t>
      </w:r>
      <w:r>
        <w:t xml:space="preserve">abertura en el borde izquierdo, celda inferior izquierda. Meta: abertura en el borde derecho, celda superior derecha (esquinas opuestas).</w:t>
      </w:r>
    </w:p>
    <w:p>
      <w:pPr>
        <w:pStyle w:val="ListParagraph"/>
        <w:numPr>
          <w:ilvl w:val="0"/>
          <w:numId w:val="2"/>
        </w:numPr>
        <w:spacing w:after="60"/>
      </w:pPr>
      <w:r>
        <w:rPr>
          <w:b/>
          <w:bCs/>
        </w:rPr>
        <w:t xml:space="preserve">Múltiples rutas</w:t>
      </w:r>
      <w:r>
        <w:t xml:space="preserve"> y callejones sin salida a propósito.</w:t>
      </w:r>
    </w:p>
    <w:p>
      <w:pPr>
        <w:pStyle w:val="ListParagraph"/>
        <w:numPr>
          <w:ilvl w:val="0"/>
          <w:numId w:val="2"/>
        </w:numPr>
        <w:spacing w:after="60"/>
      </w:pPr>
      <w:r>
        <w:rPr>
          <w:b/>
          <w:bCs/>
        </w:rPr>
        <w:t xml:space="preserve">Señales de PARE: </w:t>
      </w:r>
      <w:r>
        <w:t xml:space="preserve">se colocan 2–3 señales PARE (cartel/cinta roja, estilo CapyTown — “PARE”, no “STOP”) en algunas intersecciones, a la altura del campo de visión de la cámara. El robot debe detectarlas y detenerse por completo (~3 s) antes de continuar. Las posiciones cambian entre corridas.</w:t>
      </w:r>
    </w:p>
    <w:p>
      <w:pPr>
        <w:pStyle w:val="ListParagraph"/>
        <w:numPr>
          <w:ilvl w:val="0"/>
          <w:numId w:val="2"/>
        </w:numPr>
        <w:spacing w:after="60"/>
      </w:pPr>
      <w:r>
        <w:rPr>
          <w:b/>
          <w:bCs/>
        </w:rPr>
        <w:t xml:space="preserve">Reconfigurable: </w:t>
      </w:r>
      <w:r>
        <w:t xml:space="preserve">las paredes internas y los PARE se reordenan entre corridas para exigir robustez, no memorización del mapa.</w:t>
      </w:r>
    </w:p>
    <w:p>
      <w:pPr>
        <w:pStyle w:val="Heading1"/>
      </w:pPr>
      <w:r>
        <w:t xml:space="preserve">Activación cognitiva (antes de competir — 5 min)</w:t>
      </w:r>
    </w:p>
    <w:p>
      <w:pPr>
        <w:spacing w:after="120"/>
      </w:pPr>
      <w:r>
        <w:t xml:space="preserve">Sin tocar el teclado, cada grupo dibuja sobre el plano del laberinto:</w:t>
      </w:r>
    </w:p>
    <w:p>
      <w:pPr>
        <w:pStyle w:val="ListParagraph"/>
        <w:numPr>
          <w:ilvl w:val="0"/>
          <w:numId w:val="3"/>
        </w:numPr>
        <w:spacing w:after="60"/>
      </w:pPr>
      <w:r>
        <w:t xml:space="preserve">¿Tu robot sigue la pared izquierda, la derecha, o decide en cada intersección? ¿Por qué esa estrategia garantiza (o no) llegar a la meta?</w:t>
      </w:r>
    </w:p>
    <w:p>
      <w:pPr>
        <w:pStyle w:val="ListParagraph"/>
        <w:numPr>
          <w:ilvl w:val="0"/>
          <w:numId w:val="3"/>
        </w:numPr>
        <w:spacing w:after="60"/>
      </w:pPr>
      <w:r>
        <w:t xml:space="preserve">¿Cómo distingue una intersección de un tramo recto usando solo el </w:t>
      </w:r>
      <w:r>
        <w:rPr>
          <w:rFonts w:ascii="Consolas" w:cs="Consolas" w:eastAsia="Consolas" w:hAnsi="Consolas"/>
          <w:color w:val="B91C1C"/>
          <w:sz w:val="19"/>
          <w:szCs w:val="19"/>
        </w:rPr>
        <w:t xml:space="preserve">/scan</w:t>
      </w:r>
      <w:r>
        <w:t xml:space="preserve">? ¿Y un callejón sin salida?</w:t>
      </w:r>
    </w:p>
    <w:p>
      <w:pPr>
        <w:pStyle w:val="ListParagraph"/>
        <w:numPr>
          <w:ilvl w:val="0"/>
          <w:numId w:val="3"/>
        </w:numPr>
        <w:spacing w:after="60"/>
      </w:pPr>
      <w:r>
        <w:t xml:space="preserve">¿En qué momento mira la cámara la señal de PARE: todo el tiempo o solo al acercarse a una intersección? ¿Cómo evitas un falso PARE (un reflejo rojo cualquiera)?</w:t>
      </w:r>
    </w:p>
    <w:p>
      <w:pPr>
        <w:pStyle w:val="ListParagraph"/>
        <w:numPr>
          <w:ilvl w:val="0"/>
          <w:numId w:val="3"/>
        </w:numPr>
        <w:spacing w:after="60"/>
      </w:pPr>
      <w:r>
        <w:t xml:space="preserve">Si el LiDAR dice “puedo avanzar” pero la cámara dice “PARE”, ¿quién manda? Define tu regla de arbitraje.</w:t>
      </w:r>
    </w:p>
    <w:p>
      <w:pPr>
        <w:pStyle w:val="Heading1"/>
      </w:pPr>
      <w:r>
        <w:t xml:space="preserve">Teoría / fundamento (repaso integrador, 1 h)</w:t>
      </w:r>
    </w:p>
    <w:p>
      <w:pPr>
        <w:pStyle w:val="Heading2"/>
      </w:pPr>
      <w:r>
        <w:t xml:space="preserve">Navegación geométrica (LiDAR)</w:t>
      </w:r>
    </w:p>
    <w:p>
      <w:pPr>
        <w:pStyle w:val="ListParagraph"/>
        <w:numPr>
          <w:ilvl w:val="0"/>
          <w:numId w:val="2"/>
        </w:numPr>
        <w:spacing w:after="60"/>
      </w:pPr>
      <w:r>
        <w:rPr>
          <w:b/>
          <w:bCs/>
        </w:rPr>
        <w:t xml:space="preserve">Seguimiento de pared (wall following): </w:t>
      </w:r>
      <w:r>
        <w:t xml:space="preserve">control proporcional sobre la distancia lateral del </w:t>
      </w:r>
      <w:r>
        <w:rPr>
          <w:rFonts w:ascii="Consolas" w:cs="Consolas" w:eastAsia="Consolas" w:hAnsi="Consolas"/>
          <w:color w:val="B91C1C"/>
          <w:sz w:val="19"/>
          <w:szCs w:val="19"/>
        </w:rPr>
        <w:t xml:space="preserve">/scan</w:t>
      </w:r>
      <w:r>
        <w:t xml:space="preserve"> (sector ~±90°). Mantener d_lateral ≈ d_objetivo; el error corrige angular.z.</w:t>
      </w:r>
    </w:p>
    <w:p>
      <w:pPr>
        <w:pStyle w:val="ListParagraph"/>
        <w:numPr>
          <w:ilvl w:val="0"/>
          <w:numId w:val="2"/>
        </w:numPr>
        <w:spacing w:after="60"/>
      </w:pPr>
      <w:r>
        <w:rPr>
          <w:b/>
          <w:bCs/>
        </w:rPr>
        <w:t xml:space="preserve">Detección de intersecciones: </w:t>
      </w:r>
      <w:r>
        <w:t xml:space="preserve">apertura lateral cuando la distancia en el sector lateral crece sobre un umbral; pared frontal a &lt; umbral indica giro obligado.</w:t>
      </w:r>
    </w:p>
    <w:p>
      <w:pPr>
        <w:pStyle w:val="ListParagraph"/>
        <w:numPr>
          <w:ilvl w:val="0"/>
          <w:numId w:val="2"/>
        </w:numPr>
        <w:spacing w:after="60"/>
      </w:pPr>
      <w:r>
        <w:rPr>
          <w:b/>
          <w:bCs/>
        </w:rPr>
        <w:t xml:space="preserve">Callejón sin salida: </w:t>
      </w:r>
      <w:r>
        <w:t xml:space="preserve">pared al frente y a ambos lados → media vuelta (~180°), celda marcada como visitada en odometría.</w:t>
      </w:r>
    </w:p>
    <w:p>
      <w:pPr>
        <w:pStyle w:val="ListParagraph"/>
        <w:numPr>
          <w:ilvl w:val="0"/>
          <w:numId w:val="2"/>
        </w:numPr>
        <w:spacing w:after="60"/>
      </w:pPr>
      <w:r>
        <w:rPr>
          <w:b/>
          <w:bCs/>
        </w:rPr>
        <w:t xml:space="preserve">Odometría: </w:t>
      </w:r>
      <w:r>
        <w:t xml:space="preserve">pose (x, y, yaw) desde </w:t>
      </w:r>
      <w:r>
        <w:rPr>
          <w:rFonts w:ascii="Consolas" w:cs="Consolas" w:eastAsia="Consolas" w:hAnsi="Consolas"/>
          <w:color w:val="B91C1C"/>
          <w:sz w:val="19"/>
          <w:szCs w:val="19"/>
        </w:rPr>
        <w:t xml:space="preserve">/odom</w:t>
      </w:r>
      <w:r>
        <w:t xml:space="preserve"> (encoders + IMU) para medir ruta, marcar celdas y ejecutar giros precisos.</w:t>
      </w:r>
    </w:p>
    <w:p>
      <w:pPr>
        <w:pStyle w:val="Heading2"/>
      </w:pPr>
      <w:r>
        <w:t xml:space="preserve">Semántica del entorno (cámara)</w:t>
      </w:r>
    </w:p>
    <w:p>
      <w:pPr>
        <w:pStyle w:val="ListParagraph"/>
        <w:numPr>
          <w:ilvl w:val="0"/>
          <w:numId w:val="2"/>
        </w:numPr>
        <w:spacing w:after="60"/>
      </w:pPr>
      <w:r>
        <w:rPr>
          <w:b/>
          <w:bCs/>
        </w:rPr>
        <w:t xml:space="preserve">Detección de PARE: </w:t>
      </w:r>
      <w:r>
        <w:t xml:space="preserve">segmentación por color (rojo en HSV) + validación por forma/área del contorno para confirmar que es una señal y no ruido rojo. Reutiliza el detector de señales del RC de visión.</w:t>
      </w:r>
    </w:p>
    <w:p>
      <w:pPr>
        <w:pStyle w:val="ListParagraph"/>
        <w:numPr>
          <w:ilvl w:val="0"/>
          <w:numId w:val="2"/>
        </w:numPr>
        <w:spacing w:after="60"/>
      </w:pPr>
      <w:r>
        <w:rPr>
          <w:b/>
          <w:bCs/>
        </w:rPr>
        <w:t xml:space="preserve">Zona de atención: </w:t>
      </w:r>
      <w:r>
        <w:t xml:space="preserve">la cámara prioriza la búsqueda de PARE cuando el LiDAR indica que se aproxima una intersección (fusión por contexto), reduciendo falsos positivos.</w:t>
      </w:r>
    </w:p>
    <w:p>
      <w:pPr>
        <w:pStyle w:val="Heading2"/>
      </w:pPr>
      <w:r>
        <w:t xml:space="preserve">Fusión y arbitraje</w:t>
      </w:r>
    </w:p>
    <w:p>
      <w:pPr>
        <w:pStyle w:val="ListParagraph"/>
        <w:numPr>
          <w:ilvl w:val="0"/>
          <w:numId w:val="2"/>
        </w:numPr>
        <w:spacing w:after="60"/>
      </w:pPr>
      <w:r>
        <w:rPr>
          <w:b/>
          <w:bCs/>
        </w:rPr>
        <w:t xml:space="preserve">Regla de arbitraje: </w:t>
      </w:r>
      <w:r>
        <w:t xml:space="preserve">la cámara tiene prioridad para detener (seguridad/regla), el LiDAR tiene prioridad para mover/centrar. PARE detectado → la FSM fuerza PARAR_PARE aunque el pasillo esté libre.</w:t>
      </w:r>
    </w:p>
    <w:p>
      <w:pPr>
        <w:pStyle w:val="ListParagraph"/>
        <w:numPr>
          <w:ilvl w:val="0"/>
          <w:numId w:val="2"/>
        </w:numPr>
        <w:spacing w:after="60"/>
      </w:pPr>
      <w:r>
        <w:rPr>
          <w:b/>
          <w:bCs/>
        </w:rPr>
        <w:t xml:space="preserve">FSM de navegación: </w:t>
      </w:r>
      <w:r>
        <w:rPr>
          <w:rFonts w:ascii="Consolas" w:cs="Consolas" w:eastAsia="Consolas" w:hAnsi="Consolas"/>
          <w:color w:val="B91C1C"/>
          <w:sz w:val="19"/>
          <w:szCs w:val="19"/>
        </w:rPr>
        <w:t xml:space="preserve">EXPLORAR → EN_PASILLO → INTERSECCION → [si PARE] PARAR_PARE → ESPERAR_3S → DECIDIR_GIRO → GIRAR → … → DEAD_END → META</w:t>
      </w:r>
    </w:p>
    <w:p>
      <w:pPr>
        <w:pStyle w:val="ListParagraph"/>
        <w:numPr>
          <w:ilvl w:val="0"/>
          <w:numId w:val="2"/>
        </w:numPr>
        <w:spacing w:after="60"/>
      </w:pPr>
      <w:r>
        <w:rPr>
          <w:b/>
          <w:bCs/>
        </w:rPr>
        <w:t xml:space="preserve">Integración con percepción de cajas (capibaras): </w:t>
      </w:r>
      <w:r>
        <w:t xml:space="preserve">el sector frontal de seguridad y el rodeo del RC de cajas se reutilizan tal cual si hay un karpinchu (caja) en el pasillo.</w:t>
      </w:r>
    </w:p>
    <w:p>
      <w:pPr>
        <w:pStyle w:val="Heading1"/>
      </w:pPr>
      <w:r>
        <w:t xml:space="preserve">El reto — modalidades de la corrida</w:t>
      </w:r>
    </w:p>
    <w:p>
      <w:pPr>
        <w:spacing w:after="120"/>
      </w:pPr>
      <w:r>
        <w:t xml:space="preserve">El robot parte de INICIO y debe alcanzar META. El Gran Prix se corre en dos rondas con la misma pista (paredes y PARE se reconfiguran entre rondas):</w:t>
      </w:r>
    </w:p>
    <w:p>
      <w:pPr>
        <w:pStyle w:val="Heading2"/>
      </w:pPr>
      <w:r>
        <w:t xml:space="preserve">Ronda 1 — Exploración (“El Reconocimiento del Chaski”)</w:t>
      </w:r>
    </w:p>
    <w:p>
      <w:pPr>
        <w:pStyle w:val="ListParagraph"/>
        <w:numPr>
          <w:ilvl w:val="0"/>
          <w:numId w:val="2"/>
        </w:numPr>
        <w:spacing w:after="60"/>
      </w:pPr>
      <w:r>
        <w:t xml:space="preserve">El robot recorre el laberinto sin conocer el trazado y llega a la meta, respetando los PARE que encuentre.</w:t>
      </w:r>
    </w:p>
    <w:p>
      <w:pPr>
        <w:pStyle w:val="ListParagraph"/>
        <w:numPr>
          <w:ilvl w:val="0"/>
          <w:numId w:val="2"/>
        </w:numPr>
        <w:spacing w:after="60"/>
      </w:pPr>
      <w:r>
        <w:t xml:space="preserve">Se mide si llega, el tiempo, las colisiones, los PARE respetados y cuánto exploró.</w:t>
      </w:r>
    </w:p>
    <w:p>
      <w:pPr>
        <w:pStyle w:val="Heading2"/>
      </w:pPr>
      <w:r>
        <w:t xml:space="preserve">Ronda 2 — Time Attack (“El Inti Raymi”)</w:t>
      </w:r>
    </w:p>
    <w:p>
      <w:pPr>
        <w:pStyle w:val="ListParagraph"/>
        <w:numPr>
          <w:ilvl w:val="0"/>
          <w:numId w:val="2"/>
        </w:numPr>
        <w:spacing w:after="60"/>
      </w:pPr>
      <w:r>
        <w:t xml:space="preserve">El robot busca la ruta más corta y rápida hasta la meta, deteniéndose en cada PARE.</w:t>
      </w:r>
    </w:p>
    <w:p>
      <w:pPr>
        <w:pStyle w:val="ListParagraph"/>
        <w:numPr>
          <w:ilvl w:val="0"/>
          <w:numId w:val="2"/>
        </w:numPr>
        <w:spacing w:after="60"/>
      </w:pPr>
      <w:r>
        <w:t xml:space="preserve">Gana el menor tiempo con cero colisiones y todos los PARE respetados.</w:t>
      </w:r>
    </w:p>
    <w:p>
      <w:pPr>
        <w:pStyle w:val="Heading2"/>
      </w:pPr>
      <w:r>
        <w:t xml:space="preserve">Variante con karpinchus (opcional del docente)</w:t>
      </w:r>
    </w:p>
    <w:p>
      <w:pPr>
        <w:pStyle w:val="ListParagraph"/>
        <w:numPr>
          <w:ilvl w:val="0"/>
          <w:numId w:val="2"/>
        </w:numPr>
        <w:spacing w:after="60"/>
      </w:pPr>
      <w:r>
        <w:t xml:space="preserve">Se colocan 1–2 cajas (karpinchus dormidos) en pasillos.</w:t>
      </w:r>
    </w:p>
    <w:p>
      <w:pPr>
        <w:pStyle w:val="ListParagraph"/>
        <w:numPr>
          <w:ilvl w:val="0"/>
          <w:numId w:val="2"/>
        </w:numPr>
        <w:spacing w:after="60"/>
      </w:pPr>
      <w:r>
        <w:t xml:space="preserve">El robot las detecta con el LiDAR, se detiene a ≥ 15 cm y rodea (reutiliza </w:t>
      </w:r>
      <w:r>
        <w:rPr>
          <w:rFonts w:ascii="Consolas" w:cs="Consolas" w:eastAsia="Consolas" w:hAnsi="Consolas"/>
          <w:color w:val="B91C1C"/>
          <w:sz w:val="19"/>
          <w:szCs w:val="19"/>
        </w:rPr>
        <w:t xml:space="preserve">box_detector</w:t>
      </w:r>
      <w:r>
        <w:t xml:space="preserve"> + estado de rodeo) sin perder el rumbo ni saltarse un PARE.</w:t>
      </w:r>
    </w:p>
    <w:p>
      <w:pPr>
        <w:pStyle w:val="Heading1"/>
      </w:pPr>
      <w:r>
        <w:t xml:space="preserve">Métricas registradas (metricas_granprix.csv)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5E1" w:sz="1"/>
              <w:left w:val="single" w:color="CBD5E1" w:sz="1"/>
              <w:bottom w:val="single" w:color="CBD5E1" w:sz="1"/>
              <w:right w:val="single" w:color="CBD5E1" w:sz="1"/>
            </w:tcBorders>
            <w:shd w:fill="0F766E" w:val="clear"/>
            <w:tcMar>
              <w:top w:type="dxa" w:w="60"/>
              <w:left w:type="dxa" w:w="110"/>
              <w:bottom w:type="dxa" w:w="60"/>
              <w:right w:type="dxa" w:w="110"/>
            </w:tcMar>
          </w:tcPr>
          <w:p>
            <w:r>
              <w:rPr>
                <w:b/>
                <w:bCs/>
                <w:color w:val="FFFFFF"/>
                <w:sz w:val="21"/>
                <w:szCs w:val="21"/>
              </w:rPr>
              <w:t xml:space="preserve">Campo</w:t>
            </w:r>
          </w:p>
        </w:tc>
        <w:tc>
          <w:tcPr>
            <w:tcW w:type="dxa" w:w="6760"/>
            <w:tcBorders>
              <w:top w:val="single" w:color="CBD5E1" w:sz="1"/>
              <w:left w:val="single" w:color="CBD5E1" w:sz="1"/>
              <w:bottom w:val="single" w:color="CBD5E1" w:sz="1"/>
              <w:right w:val="single" w:color="CBD5E1" w:sz="1"/>
            </w:tcBorders>
            <w:shd w:fill="0F766E" w:val="clear"/>
            <w:tcMar>
              <w:top w:type="dxa" w:w="60"/>
              <w:left w:type="dxa" w:w="110"/>
              <w:bottom w:type="dxa" w:w="60"/>
              <w:right w:type="dxa" w:w="110"/>
            </w:tcMar>
          </w:tcPr>
          <w:p>
            <w:pPr>
              <w:jc w:val="center"/>
            </w:pPr>
            <w:r>
              <w:rPr>
                <w:b/>
                <w:bCs/>
                <w:color w:val="FFFFFF"/>
                <w:sz w:val="21"/>
                <w:szCs w:val="21"/>
              </w:rPr>
              <w:t xml:space="preserve">Descripción</w:t>
            </w:r>
          </w:p>
        </w:tc>
      </w:tr>
      <w:tr>
        <w:tc>
          <w:tcPr>
            <w:tcW w:type="dxa" w:w="2600"/>
            <w:tcBorders>
              <w:top w:val="single" w:color="CBD5E1" w:sz="1"/>
              <w:left w:val="single" w:color="CBD5E1" w:sz="1"/>
              <w:bottom w:val="single" w:color="CBD5E1" w:sz="1"/>
              <w:right w:val="single" w:color="CBD5E1" w:sz="1"/>
            </w:tcBorders>
            <w:shd w:fill="FFFFFF" w:val="clear"/>
            <w:tcMar>
              <w:top w:type="dxa" w:w="50"/>
              <w:left w:type="dxa" w:w="110"/>
              <w:bottom w:type="dxa" w:w="50"/>
              <w:right w:type="dxa" w:w="110"/>
            </w:tcMar>
          </w:tcPr>
          <w:p>
            <w:r>
              <w:rPr>
                <w:rFonts w:ascii="Consolas" w:cs="Consolas" w:eastAsia="Consolas" w:hAnsi="Consolas"/>
                <w:color w:val="B91C1C"/>
                <w:sz w:val="19"/>
                <w:szCs w:val="19"/>
              </w:rPr>
              <w:t xml:space="preserve">ronda</w:t>
            </w:r>
          </w:p>
        </w:tc>
        <w:tc>
          <w:tcPr>
            <w:tcW w:type="dxa" w:w="6760"/>
            <w:tcBorders>
              <w:top w:val="single" w:color="CBD5E1" w:sz="1"/>
              <w:left w:val="single" w:color="CBD5E1" w:sz="1"/>
              <w:bottom w:val="single" w:color="CBD5E1" w:sz="1"/>
              <w:right w:val="single" w:color="CBD5E1" w:sz="1"/>
            </w:tcBorders>
            <w:shd w:fill="FFFFFF" w:val="clear"/>
            <w:tcMar>
              <w:top w:type="dxa" w:w="50"/>
              <w:left w:type="dxa" w:w="110"/>
              <w:bottom w:type="dxa" w:w="50"/>
              <w:right w:type="dxa" w:w="110"/>
            </w:tcMar>
          </w:tcPr>
          <w:p>
            <w:pPr>
              <w:jc w:val="center"/>
            </w:pPr>
            <w:r>
              <w:rPr>
                <w:color w:val="1E293B"/>
                <w:sz w:val="20"/>
                <w:szCs w:val="20"/>
              </w:rPr>
              <w:t xml:space="preserve">1 (exploración) o 2 (time attack)</w:t>
            </w:r>
          </w:p>
        </w:tc>
      </w:tr>
      <w:tr>
        <w:tc>
          <w:tcPr>
            <w:tcW w:type="dxa" w:w="260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r>
              <w:rPr>
                <w:rFonts w:ascii="Consolas" w:cs="Consolas" w:eastAsia="Consolas" w:hAnsi="Consolas"/>
                <w:color w:val="B91C1C"/>
                <w:sz w:val="19"/>
                <w:szCs w:val="19"/>
              </w:rPr>
              <w:t xml:space="preserve">llego_meta</w:t>
            </w:r>
          </w:p>
        </w:tc>
        <w:tc>
          <w:tcPr>
            <w:tcW w:type="dxa" w:w="676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pPr>
              <w:jc w:val="center"/>
            </w:pPr>
            <w:r>
              <w:rPr>
                <w:color w:val="1E293B"/>
                <w:sz w:val="20"/>
                <w:szCs w:val="20"/>
              </w:rPr>
              <w:t xml:space="preserve">Sí/No</w:t>
            </w:r>
          </w:p>
        </w:tc>
      </w:tr>
      <w:tr>
        <w:tc>
          <w:tcPr>
            <w:tcW w:type="dxa" w:w="2600"/>
            <w:tcBorders>
              <w:top w:val="single" w:color="CBD5E1" w:sz="1"/>
              <w:left w:val="single" w:color="CBD5E1" w:sz="1"/>
              <w:bottom w:val="single" w:color="CBD5E1" w:sz="1"/>
              <w:right w:val="single" w:color="CBD5E1" w:sz="1"/>
            </w:tcBorders>
            <w:shd w:fill="FFFFFF" w:val="clear"/>
            <w:tcMar>
              <w:top w:type="dxa" w:w="50"/>
              <w:left w:type="dxa" w:w="110"/>
              <w:bottom w:type="dxa" w:w="50"/>
              <w:right w:type="dxa" w:w="110"/>
            </w:tcMar>
          </w:tcPr>
          <w:p>
            <w:r>
              <w:rPr>
                <w:rFonts w:ascii="Consolas" w:cs="Consolas" w:eastAsia="Consolas" w:hAnsi="Consolas"/>
                <w:color w:val="B91C1C"/>
                <w:sz w:val="19"/>
                <w:szCs w:val="19"/>
              </w:rPr>
              <w:t xml:space="preserve">tiempo_s</w:t>
            </w:r>
          </w:p>
        </w:tc>
        <w:tc>
          <w:tcPr>
            <w:tcW w:type="dxa" w:w="6760"/>
            <w:tcBorders>
              <w:top w:val="single" w:color="CBD5E1" w:sz="1"/>
              <w:left w:val="single" w:color="CBD5E1" w:sz="1"/>
              <w:bottom w:val="single" w:color="CBD5E1" w:sz="1"/>
              <w:right w:val="single" w:color="CBD5E1" w:sz="1"/>
            </w:tcBorders>
            <w:shd w:fill="FFFFFF" w:val="clear"/>
            <w:tcMar>
              <w:top w:type="dxa" w:w="50"/>
              <w:left w:type="dxa" w:w="110"/>
              <w:bottom w:type="dxa" w:w="50"/>
              <w:right w:type="dxa" w:w="110"/>
            </w:tcMar>
          </w:tcPr>
          <w:p>
            <w:pPr>
              <w:jc w:val="center"/>
            </w:pPr>
            <w:r>
              <w:rPr>
                <w:color w:val="1E293B"/>
                <w:sz w:val="20"/>
                <w:szCs w:val="20"/>
              </w:rPr>
              <w:t xml:space="preserve">Tiempo de INICIO a META (s)</w:t>
            </w:r>
          </w:p>
        </w:tc>
      </w:tr>
      <w:tr>
        <w:tc>
          <w:tcPr>
            <w:tcW w:type="dxa" w:w="260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r>
              <w:rPr>
                <w:rFonts w:ascii="Consolas" w:cs="Consolas" w:eastAsia="Consolas" w:hAnsi="Consolas"/>
                <w:color w:val="B91C1C"/>
                <w:sz w:val="19"/>
                <w:szCs w:val="19"/>
              </w:rPr>
              <w:t xml:space="preserve">long_ruta_cm</w:t>
            </w:r>
          </w:p>
        </w:tc>
        <w:tc>
          <w:tcPr>
            <w:tcW w:type="dxa" w:w="676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pPr>
              <w:jc w:val="center"/>
            </w:pPr>
            <w:r>
              <w:rPr>
                <w:color w:val="1E293B"/>
                <w:sz w:val="20"/>
                <w:szCs w:val="20"/>
              </w:rPr>
              <w:t xml:space="preserve">Longitud recorrida según odometría (cm)</w:t>
            </w:r>
          </w:p>
        </w:tc>
      </w:tr>
      <w:tr>
        <w:tc>
          <w:tcPr>
            <w:tcW w:type="dxa" w:w="2600"/>
            <w:tcBorders>
              <w:top w:val="single" w:color="CBD5E1" w:sz="1"/>
              <w:left w:val="single" w:color="CBD5E1" w:sz="1"/>
              <w:bottom w:val="single" w:color="CBD5E1" w:sz="1"/>
              <w:right w:val="single" w:color="CBD5E1" w:sz="1"/>
            </w:tcBorders>
            <w:shd w:fill="FFFFFF" w:val="clear"/>
            <w:tcMar>
              <w:top w:type="dxa" w:w="50"/>
              <w:left w:type="dxa" w:w="110"/>
              <w:bottom w:type="dxa" w:w="50"/>
              <w:right w:type="dxa" w:w="110"/>
            </w:tcMar>
          </w:tcPr>
          <w:p>
            <w:r>
              <w:rPr>
                <w:rFonts w:ascii="Consolas" w:cs="Consolas" w:eastAsia="Consolas" w:hAnsi="Consolas"/>
                <w:color w:val="B91C1C"/>
                <w:sz w:val="19"/>
                <w:szCs w:val="19"/>
              </w:rPr>
              <w:t xml:space="preserve">long_optima_cm</w:t>
            </w:r>
          </w:p>
        </w:tc>
        <w:tc>
          <w:tcPr>
            <w:tcW w:type="dxa" w:w="6760"/>
            <w:tcBorders>
              <w:top w:val="single" w:color="CBD5E1" w:sz="1"/>
              <w:left w:val="single" w:color="CBD5E1" w:sz="1"/>
              <w:bottom w:val="single" w:color="CBD5E1" w:sz="1"/>
              <w:right w:val="single" w:color="CBD5E1" w:sz="1"/>
            </w:tcBorders>
            <w:shd w:fill="FFFFFF" w:val="clear"/>
            <w:tcMar>
              <w:top w:type="dxa" w:w="50"/>
              <w:left w:type="dxa" w:w="110"/>
              <w:bottom w:type="dxa" w:w="50"/>
              <w:right w:type="dxa" w:w="110"/>
            </w:tcMar>
          </w:tcPr>
          <w:p>
            <w:pPr>
              <w:jc w:val="center"/>
            </w:pPr>
            <w:r>
              <w:rPr>
                <w:color w:val="1E293B"/>
                <w:sz w:val="20"/>
                <w:szCs w:val="20"/>
              </w:rPr>
              <w:t xml:space="preserve">Longitud de la ruta más corta del trazado (referencia)</w:t>
            </w:r>
          </w:p>
        </w:tc>
      </w:tr>
      <w:tr>
        <w:tc>
          <w:tcPr>
            <w:tcW w:type="dxa" w:w="260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r>
              <w:rPr>
                <w:rFonts w:ascii="Consolas" w:cs="Consolas" w:eastAsia="Consolas" w:hAnsi="Consolas"/>
                <w:color w:val="B91C1C"/>
                <w:sz w:val="19"/>
                <w:szCs w:val="19"/>
              </w:rPr>
              <w:t xml:space="preserve">eficiencia</w:t>
            </w:r>
          </w:p>
        </w:tc>
        <w:tc>
          <w:tcPr>
            <w:tcW w:type="dxa" w:w="676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pPr>
              <w:jc w:val="center"/>
            </w:pPr>
            <w:r>
              <w:rPr>
                <w:color w:val="1E293B"/>
                <w:sz w:val="20"/>
                <w:szCs w:val="20"/>
              </w:rPr>
              <w:t xml:space="preserve">long_optima_cm / long_ruta_cm (1.0 = óptima)</w:t>
            </w:r>
          </w:p>
        </w:tc>
      </w:tr>
      <w:tr>
        <w:tc>
          <w:tcPr>
            <w:tcW w:type="dxa" w:w="2600"/>
            <w:tcBorders>
              <w:top w:val="single" w:color="CBD5E1" w:sz="1"/>
              <w:left w:val="single" w:color="CBD5E1" w:sz="1"/>
              <w:bottom w:val="single" w:color="CBD5E1" w:sz="1"/>
              <w:right w:val="single" w:color="CBD5E1" w:sz="1"/>
            </w:tcBorders>
            <w:shd w:fill="FFFFFF" w:val="clear"/>
            <w:tcMar>
              <w:top w:type="dxa" w:w="50"/>
              <w:left w:type="dxa" w:w="110"/>
              <w:bottom w:type="dxa" w:w="50"/>
              <w:right w:type="dxa" w:w="110"/>
            </w:tcMar>
          </w:tcPr>
          <w:p>
            <w:r>
              <w:rPr>
                <w:rFonts w:ascii="Consolas" w:cs="Consolas" w:eastAsia="Consolas" w:hAnsi="Consolas"/>
                <w:color w:val="B91C1C"/>
                <w:sz w:val="19"/>
                <w:szCs w:val="19"/>
              </w:rPr>
              <w:t xml:space="preserve">colisiones</w:t>
            </w:r>
          </w:p>
        </w:tc>
        <w:tc>
          <w:tcPr>
            <w:tcW w:type="dxa" w:w="6760"/>
            <w:tcBorders>
              <w:top w:val="single" w:color="CBD5E1" w:sz="1"/>
              <w:left w:val="single" w:color="CBD5E1" w:sz="1"/>
              <w:bottom w:val="single" w:color="CBD5E1" w:sz="1"/>
              <w:right w:val="single" w:color="CBD5E1" w:sz="1"/>
            </w:tcBorders>
            <w:shd w:fill="FFFFFF" w:val="clear"/>
            <w:tcMar>
              <w:top w:type="dxa" w:w="50"/>
              <w:left w:type="dxa" w:w="110"/>
              <w:bottom w:type="dxa" w:w="50"/>
              <w:right w:type="dxa" w:w="110"/>
            </w:tcMar>
          </w:tcPr>
          <w:p>
            <w:pPr>
              <w:jc w:val="center"/>
            </w:pPr>
            <w:r>
              <w:rPr>
                <w:color w:val="1E293B"/>
                <w:sz w:val="20"/>
                <w:szCs w:val="20"/>
              </w:rPr>
              <w:t xml:space="preserve">N° de toques/roces con paredes o karpinchus</w:t>
            </w:r>
          </w:p>
        </w:tc>
      </w:tr>
      <w:tr>
        <w:tc>
          <w:tcPr>
            <w:tcW w:type="dxa" w:w="260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r>
              <w:rPr>
                <w:rFonts w:ascii="Consolas" w:cs="Consolas" w:eastAsia="Consolas" w:hAnsi="Consolas"/>
                <w:color w:val="B91C1C"/>
                <w:sz w:val="19"/>
                <w:szCs w:val="19"/>
              </w:rPr>
              <w:t xml:space="preserve">pare_reales</w:t>
            </w:r>
          </w:p>
        </w:tc>
        <w:tc>
          <w:tcPr>
            <w:tcW w:type="dxa" w:w="676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pPr>
              <w:jc w:val="center"/>
            </w:pPr>
            <w:r>
              <w:rPr>
                <w:color w:val="1E293B"/>
                <w:sz w:val="20"/>
                <w:szCs w:val="20"/>
              </w:rPr>
              <w:t xml:space="preserve">Cuántas señales PARE había en la pista</w:t>
            </w:r>
          </w:p>
        </w:tc>
      </w:tr>
      <w:tr>
        <w:tc>
          <w:tcPr>
            <w:tcW w:type="dxa" w:w="2600"/>
            <w:tcBorders>
              <w:top w:val="single" w:color="CBD5E1" w:sz="1"/>
              <w:left w:val="single" w:color="CBD5E1" w:sz="1"/>
              <w:bottom w:val="single" w:color="CBD5E1" w:sz="1"/>
              <w:right w:val="single" w:color="CBD5E1" w:sz="1"/>
            </w:tcBorders>
            <w:shd w:fill="FFFFFF" w:val="clear"/>
            <w:tcMar>
              <w:top w:type="dxa" w:w="50"/>
              <w:left w:type="dxa" w:w="110"/>
              <w:bottom w:type="dxa" w:w="50"/>
              <w:right w:type="dxa" w:w="110"/>
            </w:tcMar>
          </w:tcPr>
          <w:p>
            <w:r>
              <w:rPr>
                <w:rFonts w:ascii="Consolas" w:cs="Consolas" w:eastAsia="Consolas" w:hAnsi="Consolas"/>
                <w:color w:val="B91C1C"/>
                <w:sz w:val="19"/>
                <w:szCs w:val="19"/>
              </w:rPr>
              <w:t xml:space="preserve">pare_detectados</w:t>
            </w:r>
          </w:p>
        </w:tc>
        <w:tc>
          <w:tcPr>
            <w:tcW w:type="dxa" w:w="6760"/>
            <w:tcBorders>
              <w:top w:val="single" w:color="CBD5E1" w:sz="1"/>
              <w:left w:val="single" w:color="CBD5E1" w:sz="1"/>
              <w:bottom w:val="single" w:color="CBD5E1" w:sz="1"/>
              <w:right w:val="single" w:color="CBD5E1" w:sz="1"/>
            </w:tcBorders>
            <w:shd w:fill="FFFFFF" w:val="clear"/>
            <w:tcMar>
              <w:top w:type="dxa" w:w="50"/>
              <w:left w:type="dxa" w:w="110"/>
              <w:bottom w:type="dxa" w:w="50"/>
              <w:right w:type="dxa" w:w="110"/>
            </w:tcMar>
          </w:tcPr>
          <w:p>
            <w:pPr>
              <w:jc w:val="center"/>
            </w:pPr>
            <w:r>
              <w:rPr>
                <w:color w:val="1E293B"/>
                <w:sz w:val="20"/>
                <w:szCs w:val="20"/>
              </w:rPr>
              <w:t xml:space="preserve">Cuántas reconoció la cámara</w:t>
            </w:r>
          </w:p>
        </w:tc>
      </w:tr>
      <w:tr>
        <w:tc>
          <w:tcPr>
            <w:tcW w:type="dxa" w:w="260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r>
              <w:rPr>
                <w:rFonts w:ascii="Consolas" w:cs="Consolas" w:eastAsia="Consolas" w:hAnsi="Consolas"/>
                <w:color w:val="B91C1C"/>
                <w:sz w:val="19"/>
                <w:szCs w:val="19"/>
              </w:rPr>
              <w:t xml:space="preserve">pare_respetados</w:t>
            </w:r>
          </w:p>
        </w:tc>
        <w:tc>
          <w:tcPr>
            <w:tcW w:type="dxa" w:w="676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pPr>
              <w:jc w:val="center"/>
            </w:pPr>
            <w:r>
              <w:rPr>
                <w:color w:val="1E293B"/>
                <w:sz w:val="20"/>
                <w:szCs w:val="20"/>
              </w:rPr>
              <w:t xml:space="preserve">En cuántas hizo la detención completa (~3 s)</w:t>
            </w:r>
          </w:p>
        </w:tc>
      </w:tr>
      <w:tr>
        <w:tc>
          <w:tcPr>
            <w:tcW w:type="dxa" w:w="2600"/>
            <w:tcBorders>
              <w:top w:val="single" w:color="CBD5E1" w:sz="1"/>
              <w:left w:val="single" w:color="CBD5E1" w:sz="1"/>
              <w:bottom w:val="single" w:color="CBD5E1" w:sz="1"/>
              <w:right w:val="single" w:color="CBD5E1" w:sz="1"/>
            </w:tcBorders>
            <w:shd w:fill="FFFFFF" w:val="clear"/>
            <w:tcMar>
              <w:top w:type="dxa" w:w="50"/>
              <w:left w:type="dxa" w:w="110"/>
              <w:bottom w:type="dxa" w:w="50"/>
              <w:right w:type="dxa" w:w="110"/>
            </w:tcMar>
          </w:tcPr>
          <w:p>
            <w:r>
              <w:rPr>
                <w:rFonts w:ascii="Consolas" w:cs="Consolas" w:eastAsia="Consolas" w:hAnsi="Consolas"/>
                <w:color w:val="B91C1C"/>
                <w:sz w:val="19"/>
                <w:szCs w:val="19"/>
              </w:rPr>
              <w:t xml:space="preserve">pare_falsos</w:t>
            </w:r>
          </w:p>
        </w:tc>
        <w:tc>
          <w:tcPr>
            <w:tcW w:type="dxa" w:w="6760"/>
            <w:tcBorders>
              <w:top w:val="single" w:color="CBD5E1" w:sz="1"/>
              <w:left w:val="single" w:color="CBD5E1" w:sz="1"/>
              <w:bottom w:val="single" w:color="CBD5E1" w:sz="1"/>
              <w:right w:val="single" w:color="CBD5E1" w:sz="1"/>
            </w:tcBorders>
            <w:shd w:fill="FFFFFF" w:val="clear"/>
            <w:tcMar>
              <w:top w:type="dxa" w:w="50"/>
              <w:left w:type="dxa" w:w="110"/>
              <w:bottom w:type="dxa" w:w="50"/>
              <w:right w:type="dxa" w:w="110"/>
            </w:tcMar>
          </w:tcPr>
          <w:p>
            <w:pPr>
              <w:jc w:val="center"/>
            </w:pPr>
            <w:r>
              <w:rPr>
                <w:color w:val="1E293B"/>
                <w:sz w:val="20"/>
                <w:szCs w:val="20"/>
              </w:rPr>
              <w:t xml:space="preserve">Detenciones donde no había PARE (falsos positivos)</w:t>
            </w:r>
          </w:p>
        </w:tc>
      </w:tr>
      <w:tr>
        <w:tc>
          <w:tcPr>
            <w:tcW w:type="dxa" w:w="260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r>
              <w:rPr>
                <w:rFonts w:ascii="Consolas" w:cs="Consolas" w:eastAsia="Consolas" w:hAnsi="Consolas"/>
                <w:color w:val="B91C1C"/>
                <w:sz w:val="19"/>
                <w:szCs w:val="19"/>
              </w:rPr>
              <w:t xml:space="preserve">dead_ends_visitados</w:t>
            </w:r>
          </w:p>
        </w:tc>
        <w:tc>
          <w:tcPr>
            <w:tcW w:type="dxa" w:w="676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pPr>
              <w:jc w:val="center"/>
            </w:pPr>
            <w:r>
              <w:rPr>
                <w:color w:val="1E293B"/>
                <w:sz w:val="20"/>
                <w:szCs w:val="20"/>
              </w:rPr>
              <w:t xml:space="preserve">Callejones en los que entró</w:t>
            </w:r>
          </w:p>
        </w:tc>
      </w:tr>
      <w:tr>
        <w:tc>
          <w:tcPr>
            <w:tcW w:type="dxa" w:w="2600"/>
            <w:tcBorders>
              <w:top w:val="single" w:color="CBD5E1" w:sz="1"/>
              <w:left w:val="single" w:color="CBD5E1" w:sz="1"/>
              <w:bottom w:val="single" w:color="CBD5E1" w:sz="1"/>
              <w:right w:val="single" w:color="CBD5E1" w:sz="1"/>
            </w:tcBorders>
            <w:shd w:fill="FFFFFF" w:val="clear"/>
            <w:tcMar>
              <w:top w:type="dxa" w:w="50"/>
              <w:left w:type="dxa" w:w="110"/>
              <w:bottom w:type="dxa" w:w="50"/>
              <w:right w:type="dxa" w:w="110"/>
            </w:tcMar>
          </w:tcPr>
          <w:p>
            <w:r>
              <w:rPr>
                <w:rFonts w:ascii="Consolas" w:cs="Consolas" w:eastAsia="Consolas" w:hAnsi="Consolas"/>
                <w:color w:val="B91C1C"/>
                <w:sz w:val="19"/>
                <w:szCs w:val="19"/>
              </w:rPr>
              <w:t xml:space="preserve">karpinchus_rodeados</w:t>
            </w:r>
          </w:p>
        </w:tc>
        <w:tc>
          <w:tcPr>
            <w:tcW w:type="dxa" w:w="6760"/>
            <w:tcBorders>
              <w:top w:val="single" w:color="CBD5E1" w:sz="1"/>
              <w:left w:val="single" w:color="CBD5E1" w:sz="1"/>
              <w:bottom w:val="single" w:color="CBD5E1" w:sz="1"/>
              <w:right w:val="single" w:color="CBD5E1" w:sz="1"/>
            </w:tcBorders>
            <w:shd w:fill="FFFFFF" w:val="clear"/>
            <w:tcMar>
              <w:top w:type="dxa" w:w="50"/>
              <w:left w:type="dxa" w:w="110"/>
              <w:bottom w:type="dxa" w:w="50"/>
              <w:right w:type="dxa" w:w="110"/>
            </w:tcMar>
          </w:tcPr>
          <w:p>
            <w:pPr>
              <w:jc w:val="center"/>
            </w:pPr>
            <w:r>
              <w:rPr>
                <w:color w:val="1E293B"/>
                <w:sz w:val="20"/>
                <w:szCs w:val="20"/>
              </w:rPr>
              <w:t xml:space="preserve">(si aplica) cajas detectadas y rodeadas sin tumbar</w:t>
            </w:r>
          </w:p>
        </w:tc>
      </w:tr>
    </w:tbl>
    <w:p>
      <w:pPr>
        <w:pStyle w:val="Heading1"/>
      </w:pPr>
      <w:r>
        <w:t xml:space="preserve">Entregable Git: capytown_G&lt;n&gt;_granprix</w:t>
      </w:r>
    </w:p>
    <w:p>
      <w:pPr>
        <w:pStyle w:val="ListParagraph"/>
        <w:numPr>
          <w:ilvl w:val="0"/>
          <w:numId w:val="2"/>
        </w:numPr>
        <w:spacing w:after="60"/>
      </w:pPr>
      <w:r>
        <w:rPr>
          <w:rFonts w:ascii="Consolas" w:cs="Consolas" w:eastAsia="Consolas" w:hAnsi="Consolas"/>
          <w:color w:val="B91C1C"/>
          <w:sz w:val="19"/>
          <w:szCs w:val="19"/>
        </w:rPr>
        <w:t xml:space="preserve">maze_solver</w:t>
      </w:r>
      <w:r>
        <w:t xml:space="preserve"> (FSM de navegación: wall following + decisión en intersecciones + recuperación de dead-end + fusión con PARE) documentado.</w:t>
      </w:r>
    </w:p>
    <w:p>
      <w:pPr>
        <w:pStyle w:val="ListParagraph"/>
        <w:numPr>
          <w:ilvl w:val="0"/>
          <w:numId w:val="2"/>
        </w:numPr>
        <w:spacing w:after="60"/>
      </w:pPr>
      <w:r>
        <w:t xml:space="preserve">Reutilización explícita de </w:t>
      </w:r>
      <w:r>
        <w:rPr>
          <w:rFonts w:ascii="Consolas" w:cs="Consolas" w:eastAsia="Consolas" w:hAnsi="Consolas"/>
          <w:color w:val="B91C1C"/>
          <w:sz w:val="19"/>
          <w:szCs w:val="19"/>
        </w:rPr>
        <w:t xml:space="preserve">box_detector</w:t>
      </w:r>
      <w:r>
        <w:t xml:space="preserve"> (LiDAR), el detector de PARE por cámara (visión) y el estado de rodeo de </w:t>
      </w:r>
      <w:r>
        <w:rPr>
          <w:rFonts w:ascii="Consolas" w:cs="Consolas" w:eastAsia="Consolas" w:hAnsi="Consolas"/>
          <w:color w:val="B91C1C"/>
          <w:sz w:val="19"/>
          <w:szCs w:val="19"/>
        </w:rPr>
        <w:t xml:space="preserve">behavior_fsm</w:t>
      </w:r>
      <w:r>
        <w:t xml:space="preserve"> — sin reprogramar percepción.</w:t>
      </w:r>
    </w:p>
    <w:p>
      <w:pPr>
        <w:pStyle w:val="ListParagraph"/>
        <w:numPr>
          <w:ilvl w:val="0"/>
          <w:numId w:val="2"/>
        </w:numPr>
        <w:spacing w:after="60"/>
      </w:pPr>
      <w:r>
        <w:rPr>
          <w:rFonts w:ascii="Consolas" w:cs="Consolas" w:eastAsia="Consolas" w:hAnsi="Consolas"/>
          <w:color w:val="B91C1C"/>
          <w:sz w:val="19"/>
          <w:szCs w:val="19"/>
        </w:rPr>
        <w:t xml:space="preserve">metricas_granprix.csv</w:t>
      </w:r>
      <w:r>
        <w:t xml:space="preserve"> con las rondas corridas.</w:t>
      </w:r>
    </w:p>
    <w:p>
      <w:pPr>
        <w:pStyle w:val="ListParagraph"/>
        <w:numPr>
          <w:ilvl w:val="0"/>
          <w:numId w:val="2"/>
        </w:numPr>
        <w:spacing w:after="60"/>
      </w:pPr>
      <w:r>
        <w:t xml:space="preserve">Captura de RViz: trayectoria </w:t>
      </w:r>
      <w:r>
        <w:rPr>
          <w:rFonts w:ascii="Consolas" w:cs="Consolas" w:eastAsia="Consolas" w:hAnsi="Consolas"/>
          <w:color w:val="B91C1C"/>
          <w:sz w:val="19"/>
          <w:szCs w:val="19"/>
        </w:rPr>
        <w:t xml:space="preserve">/odom</w:t>
      </w:r>
      <w:r>
        <w:t xml:space="preserve"> + markers de intersecciones y PARE; captura de la cámara mostrando una detección de PARE.</w:t>
      </w:r>
    </w:p>
    <w:p>
      <w:pPr>
        <w:pStyle w:val="ListParagraph"/>
        <w:numPr>
          <w:ilvl w:val="0"/>
          <w:numId w:val="2"/>
        </w:numPr>
        <w:spacing w:after="60"/>
      </w:pPr>
      <w:r>
        <w:t xml:space="preserve">Video compilado: corrida completa INICIO→META (rondas 1 y 2), con al menos una reconfiguración de paredes/PARE y una detención válida ante un PARE.</w:t>
      </w:r>
    </w:p>
    <w:p>
      <w:pPr>
        <w:pStyle w:val="ListParagraph"/>
        <w:numPr>
          <w:ilvl w:val="0"/>
          <w:numId w:val="2"/>
        </w:numPr>
        <w:spacing w:after="60"/>
      </w:pPr>
      <w:r>
        <w:t xml:space="preserve">Paper IEEE corto del proyecto y defensa individual por rol (Quipu).</w:t>
      </w:r>
    </w:p>
    <w:p>
      <w:pPr>
        <w:pStyle w:val="Heading1"/>
      </w:pPr>
      <w:r>
        <w:t xml:space="preserve">Rúbrica del Gran Prix — 40 % implementación / 60 % defensa</w:t>
      </w:r>
    </w:p>
    <w:p>
      <w:pPr>
        <w:pStyle w:val="Heading2"/>
      </w:pPr>
      <w:r>
        <w:t xml:space="preserve">Implementación (40 %)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360"/>
        <w:gridCol w:w="1000"/>
      </w:tblGrid>
      <w:tr>
        <w:trPr>
          <w:tblHeader/>
        </w:trPr>
        <w:tc>
          <w:tcPr>
            <w:tcW w:type="dxa" w:w="8360"/>
            <w:tcBorders>
              <w:top w:val="single" w:color="CBD5E1" w:sz="1"/>
              <w:left w:val="single" w:color="CBD5E1" w:sz="1"/>
              <w:bottom w:val="single" w:color="CBD5E1" w:sz="1"/>
              <w:right w:val="single" w:color="CBD5E1" w:sz="1"/>
            </w:tcBorders>
            <w:shd w:fill="0F766E" w:val="clear"/>
            <w:tcMar>
              <w:top w:type="dxa" w:w="60"/>
              <w:left w:type="dxa" w:w="110"/>
              <w:bottom w:type="dxa" w:w="60"/>
              <w:right w:type="dxa" w:w="110"/>
            </w:tcMar>
          </w:tcPr>
          <w:p>
            <w:r>
              <w:rPr>
                <w:b/>
                <w:bCs/>
                <w:color w:val="FFFFFF"/>
                <w:sz w:val="21"/>
                <w:szCs w:val="21"/>
              </w:rPr>
              <w:t xml:space="preserve">Criterio</w:t>
            </w:r>
          </w:p>
        </w:tc>
        <w:tc>
          <w:tcPr>
            <w:tcW w:type="dxa" w:w="1000"/>
            <w:tcBorders>
              <w:top w:val="single" w:color="CBD5E1" w:sz="1"/>
              <w:left w:val="single" w:color="CBD5E1" w:sz="1"/>
              <w:bottom w:val="single" w:color="CBD5E1" w:sz="1"/>
              <w:right w:val="single" w:color="CBD5E1" w:sz="1"/>
            </w:tcBorders>
            <w:shd w:fill="0F766E" w:val="clear"/>
            <w:tcMar>
              <w:top w:type="dxa" w:w="60"/>
              <w:left w:type="dxa" w:w="110"/>
              <w:bottom w:type="dxa" w:w="60"/>
              <w:right w:type="dxa" w:w="110"/>
            </w:tcMar>
          </w:tcPr>
          <w:p>
            <w:pPr>
              <w:jc w:val="center"/>
            </w:pPr>
            <w:r>
              <w:rPr>
                <w:b/>
                <w:bCs/>
                <w:color w:val="FFFFFF"/>
                <w:sz w:val="21"/>
                <w:szCs w:val="21"/>
              </w:rPr>
              <w:t xml:space="preserve">%</w:t>
            </w:r>
          </w:p>
        </w:tc>
      </w:tr>
      <w:tr>
        <w:tc>
          <w:tcPr>
            <w:tcW w:type="dxa" w:w="8360"/>
            <w:tcBorders>
              <w:top w:val="single" w:color="CBD5E1" w:sz="1"/>
              <w:left w:val="single" w:color="CBD5E1" w:sz="1"/>
              <w:bottom w:val="single" w:color="CBD5E1" w:sz="1"/>
              <w:right w:val="single" w:color="CBD5E1" w:sz="1"/>
            </w:tcBorders>
            <w:shd w:fill="FFFFFF" w:val="clear"/>
            <w:tcMar>
              <w:top w:type="dxa" w:w="50"/>
              <w:left w:type="dxa" w:w="110"/>
              <w:bottom w:type="dxa" w:w="50"/>
              <w:right w:type="dxa" w:w="110"/>
            </w:tcMar>
          </w:tcPr>
          <w:p>
            <w:r>
              <w:rPr>
                <w:b/>
                <w:bCs/>
              </w:rPr>
              <w:t xml:space="preserve">Llega a la meta </w:t>
            </w:r>
            <w:r>
              <w:t xml:space="preserve">de INICIO a META de forma autónoma, en ambas rondas</w:t>
            </w:r>
          </w:p>
        </w:tc>
        <w:tc>
          <w:tcPr>
            <w:tcW w:type="dxa" w:w="1000"/>
            <w:tcBorders>
              <w:top w:val="single" w:color="CBD5E1" w:sz="1"/>
              <w:left w:val="single" w:color="CBD5E1" w:sz="1"/>
              <w:bottom w:val="single" w:color="CBD5E1" w:sz="1"/>
              <w:right w:val="single" w:color="CBD5E1" w:sz="1"/>
            </w:tcBorders>
            <w:shd w:fill="FFFFFF" w:val="clear"/>
            <w:tcMar>
              <w:top w:type="dxa" w:w="50"/>
              <w:left w:type="dxa" w:w="110"/>
              <w:bottom w:type="dxa" w:w="50"/>
              <w:right w:type="dxa" w:w="110"/>
            </w:tcMar>
          </w:tcPr>
          <w:p>
            <w:pPr>
              <w:jc w:val="center"/>
            </w:pPr>
            <w:r>
              <w:rPr>
                <w:color w:val="1E293B"/>
                <w:sz w:val="20"/>
                <w:szCs w:val="20"/>
              </w:rPr>
              <w:t xml:space="preserve">10</w:t>
            </w:r>
          </w:p>
        </w:tc>
      </w:tr>
      <w:tr>
        <w:tc>
          <w:tcPr>
            <w:tcW w:type="dxa" w:w="836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r>
              <w:rPr>
                <w:b/>
                <w:bCs/>
              </w:rPr>
              <w:t xml:space="preserve">Respeta los PARE (fusión cámara+LiDAR): </w:t>
            </w:r>
            <w:r>
              <w:t xml:space="preserve">detecta y hace detención completa en ≥ las señales presentes, con pare_falsos = 0</w:t>
            </w:r>
          </w:p>
        </w:tc>
        <w:tc>
          <w:tcPr>
            <w:tcW w:type="dxa" w:w="100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pPr>
              <w:jc w:val="center"/>
            </w:pPr>
            <w:r>
              <w:rPr>
                <w:color w:val="1E293B"/>
                <w:sz w:val="20"/>
                <w:szCs w:val="20"/>
              </w:rPr>
              <w:t xml:space="preserve">12</w:t>
            </w:r>
          </w:p>
        </w:tc>
      </w:tr>
      <w:tr>
        <w:tc>
          <w:tcPr>
            <w:tcW w:type="dxa" w:w="8360"/>
            <w:tcBorders>
              <w:top w:val="single" w:color="CBD5E1" w:sz="1"/>
              <w:left w:val="single" w:color="CBD5E1" w:sz="1"/>
              <w:bottom w:val="single" w:color="CBD5E1" w:sz="1"/>
              <w:right w:val="single" w:color="CBD5E1" w:sz="1"/>
            </w:tcBorders>
            <w:shd w:fill="FFFFFF" w:val="clear"/>
            <w:tcMar>
              <w:top w:type="dxa" w:w="50"/>
              <w:left w:type="dxa" w:w="110"/>
              <w:bottom w:type="dxa" w:w="50"/>
              <w:right w:type="dxa" w:w="110"/>
            </w:tcMar>
          </w:tcPr>
          <w:p>
            <w:r>
              <w:rPr>
                <w:b/>
                <w:bCs/>
              </w:rPr>
              <w:t xml:space="preserve">Sin colisiones: </w:t>
            </w:r>
            <w:r>
              <w:t xml:space="preserve">0 toques de pared/karpinchu en las corridas válidas</w:t>
            </w:r>
          </w:p>
        </w:tc>
        <w:tc>
          <w:tcPr>
            <w:tcW w:type="dxa" w:w="1000"/>
            <w:tcBorders>
              <w:top w:val="single" w:color="CBD5E1" w:sz="1"/>
              <w:left w:val="single" w:color="CBD5E1" w:sz="1"/>
              <w:bottom w:val="single" w:color="CBD5E1" w:sz="1"/>
              <w:right w:val="single" w:color="CBD5E1" w:sz="1"/>
            </w:tcBorders>
            <w:shd w:fill="FFFFFF" w:val="clear"/>
            <w:tcMar>
              <w:top w:type="dxa" w:w="50"/>
              <w:left w:type="dxa" w:w="110"/>
              <w:bottom w:type="dxa" w:w="50"/>
              <w:right w:type="dxa" w:w="110"/>
            </w:tcMar>
          </w:tcPr>
          <w:p>
            <w:pPr>
              <w:jc w:val="center"/>
            </w:pPr>
            <w:r>
              <w:rPr>
                <w:color w:val="1E293B"/>
                <w:sz w:val="20"/>
                <w:szCs w:val="20"/>
              </w:rPr>
              <w:t xml:space="preserve">8</w:t>
            </w:r>
          </w:p>
        </w:tc>
      </w:tr>
      <w:tr>
        <w:tc>
          <w:tcPr>
            <w:tcW w:type="dxa" w:w="836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r>
              <w:rPr>
                <w:b/>
                <w:bCs/>
              </w:rPr>
              <w:t xml:space="preserve">Eficiencia de ruta: </w:t>
            </w:r>
            <w:r>
              <w:t xml:space="preserve">eficiencia ≥ 0.7 en el time attack</w:t>
            </w:r>
          </w:p>
        </w:tc>
        <w:tc>
          <w:tcPr>
            <w:tcW w:type="dxa" w:w="100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pPr>
              <w:jc w:val="center"/>
            </w:pPr>
            <w:r>
              <w:rPr>
                <w:color w:val="1E293B"/>
                <w:sz w:val="20"/>
                <w:szCs w:val="20"/>
              </w:rPr>
              <w:t xml:space="preserve">6</w:t>
            </w:r>
          </w:p>
        </w:tc>
      </w:tr>
      <w:tr>
        <w:tc>
          <w:tcPr>
            <w:tcW w:type="dxa" w:w="8360"/>
            <w:tcBorders>
              <w:top w:val="single" w:color="CBD5E1" w:sz="1"/>
              <w:left w:val="single" w:color="CBD5E1" w:sz="1"/>
              <w:bottom w:val="single" w:color="CBD5E1" w:sz="1"/>
              <w:right w:val="single" w:color="CBD5E1" w:sz="1"/>
            </w:tcBorders>
            <w:shd w:fill="FFFFFF" w:val="clear"/>
            <w:tcMar>
              <w:top w:type="dxa" w:w="50"/>
              <w:left w:type="dxa" w:w="110"/>
              <w:bottom w:type="dxa" w:w="50"/>
              <w:right w:type="dxa" w:w="110"/>
            </w:tcMar>
          </w:tcPr>
          <w:p>
            <w:r>
              <w:rPr>
                <w:b/>
                <w:bCs/>
              </w:rPr>
              <w:t xml:space="preserve">Integración y calidad: </w:t>
            </w:r>
            <w:r>
              <w:t xml:space="preserve">reutiliza nodos LiDAR/cámara/FSM, código limpio, RViz + métricas registradas</w:t>
            </w:r>
          </w:p>
        </w:tc>
        <w:tc>
          <w:tcPr>
            <w:tcW w:type="dxa" w:w="1000"/>
            <w:tcBorders>
              <w:top w:val="single" w:color="CBD5E1" w:sz="1"/>
              <w:left w:val="single" w:color="CBD5E1" w:sz="1"/>
              <w:bottom w:val="single" w:color="CBD5E1" w:sz="1"/>
              <w:right w:val="single" w:color="CBD5E1" w:sz="1"/>
            </w:tcBorders>
            <w:shd w:fill="FFFFFF" w:val="clear"/>
            <w:tcMar>
              <w:top w:type="dxa" w:w="50"/>
              <w:left w:type="dxa" w:w="110"/>
              <w:bottom w:type="dxa" w:w="50"/>
              <w:right w:type="dxa" w:w="110"/>
            </w:tcMar>
          </w:tcPr>
          <w:p>
            <w:pPr>
              <w:jc w:val="center"/>
            </w:pPr>
            <w:r>
              <w:rPr>
                <w:color w:val="1E293B"/>
                <w:sz w:val="20"/>
                <w:szCs w:val="20"/>
              </w:rPr>
              <w:t xml:space="preserve">4</w:t>
            </w:r>
          </w:p>
        </w:tc>
      </w:tr>
    </w:tbl>
    <w:p>
      <w:pPr>
        <w:pStyle w:val="Heading2"/>
      </w:pPr>
      <w:r>
        <w:t xml:space="preserve">Defensa (60 %)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360"/>
        <w:gridCol w:w="1000"/>
      </w:tblGrid>
      <w:tr>
        <w:trPr>
          <w:tblHeader/>
        </w:trPr>
        <w:tc>
          <w:tcPr>
            <w:tcW w:type="dxa" w:w="8360"/>
            <w:tcBorders>
              <w:top w:val="single" w:color="CBD5E1" w:sz="1"/>
              <w:left w:val="single" w:color="CBD5E1" w:sz="1"/>
              <w:bottom w:val="single" w:color="CBD5E1" w:sz="1"/>
              <w:right w:val="single" w:color="CBD5E1" w:sz="1"/>
            </w:tcBorders>
            <w:shd w:fill="0F766E" w:val="clear"/>
            <w:tcMar>
              <w:top w:type="dxa" w:w="60"/>
              <w:left w:type="dxa" w:w="110"/>
              <w:bottom w:type="dxa" w:w="60"/>
              <w:right w:type="dxa" w:w="110"/>
            </w:tcMar>
          </w:tcPr>
          <w:p>
            <w:r>
              <w:rPr>
                <w:b/>
                <w:bCs/>
                <w:color w:val="FFFFFF"/>
                <w:sz w:val="21"/>
                <w:szCs w:val="21"/>
              </w:rPr>
              <w:t xml:space="preserve">Criterio</w:t>
            </w:r>
          </w:p>
        </w:tc>
        <w:tc>
          <w:tcPr>
            <w:tcW w:type="dxa" w:w="1000"/>
            <w:tcBorders>
              <w:top w:val="single" w:color="CBD5E1" w:sz="1"/>
              <w:left w:val="single" w:color="CBD5E1" w:sz="1"/>
              <w:bottom w:val="single" w:color="CBD5E1" w:sz="1"/>
              <w:right w:val="single" w:color="CBD5E1" w:sz="1"/>
            </w:tcBorders>
            <w:shd w:fill="0F766E" w:val="clear"/>
            <w:tcMar>
              <w:top w:type="dxa" w:w="60"/>
              <w:left w:type="dxa" w:w="110"/>
              <w:bottom w:type="dxa" w:w="60"/>
              <w:right w:type="dxa" w:w="110"/>
            </w:tcMar>
          </w:tcPr>
          <w:p>
            <w:pPr>
              <w:jc w:val="center"/>
            </w:pPr>
            <w:r>
              <w:rPr>
                <w:b/>
                <w:bCs/>
                <w:color w:val="FFFFFF"/>
                <w:sz w:val="21"/>
                <w:szCs w:val="21"/>
              </w:rPr>
              <w:t xml:space="preserve">%</w:t>
            </w:r>
          </w:p>
        </w:tc>
      </w:tr>
      <w:tr>
        <w:tc>
          <w:tcPr>
            <w:tcW w:type="dxa" w:w="8360"/>
            <w:tcBorders>
              <w:top w:val="single" w:color="CBD5E1" w:sz="1"/>
              <w:left w:val="single" w:color="CBD5E1" w:sz="1"/>
              <w:bottom w:val="single" w:color="CBD5E1" w:sz="1"/>
              <w:right w:val="single" w:color="CBD5E1" w:sz="1"/>
            </w:tcBorders>
            <w:shd w:fill="FFFFFF" w:val="clear"/>
            <w:tcMar>
              <w:top w:type="dxa" w:w="50"/>
              <w:left w:type="dxa" w:w="110"/>
              <w:bottom w:type="dxa" w:w="50"/>
              <w:right w:type="dxa" w:w="110"/>
            </w:tcMar>
          </w:tcPr>
          <w:p>
            <w:r>
              <w:rPr>
                <w:b/>
                <w:bCs/>
              </w:rPr>
              <w:t xml:space="preserve">Comprensión teórica: </w:t>
            </w:r>
            <w:r>
              <w:t xml:space="preserve">explica wall following, detección de intersecciones/dead-ends, detección de PARE por cámara y la regla de arbitraje cámara↔LiDAR</w:t>
            </w:r>
          </w:p>
        </w:tc>
        <w:tc>
          <w:tcPr>
            <w:tcW w:type="dxa" w:w="1000"/>
            <w:tcBorders>
              <w:top w:val="single" w:color="CBD5E1" w:sz="1"/>
              <w:left w:val="single" w:color="CBD5E1" w:sz="1"/>
              <w:bottom w:val="single" w:color="CBD5E1" w:sz="1"/>
              <w:right w:val="single" w:color="CBD5E1" w:sz="1"/>
            </w:tcBorders>
            <w:shd w:fill="FFFFFF" w:val="clear"/>
            <w:tcMar>
              <w:top w:type="dxa" w:w="50"/>
              <w:left w:type="dxa" w:w="110"/>
              <w:bottom w:type="dxa" w:w="50"/>
              <w:right w:type="dxa" w:w="110"/>
            </w:tcMar>
          </w:tcPr>
          <w:p>
            <w:pPr>
              <w:jc w:val="center"/>
            </w:pPr>
            <w:r>
              <w:rPr>
                <w:color w:val="1E293B"/>
                <w:sz w:val="20"/>
                <w:szCs w:val="20"/>
              </w:rPr>
              <w:t xml:space="preserve">18</w:t>
            </w:r>
          </w:p>
        </w:tc>
      </w:tr>
      <w:tr>
        <w:tc>
          <w:tcPr>
            <w:tcW w:type="dxa" w:w="836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r>
              <w:rPr>
                <w:b/>
                <w:bCs/>
              </w:rPr>
              <w:t xml:space="preserve">Justificación de diseño: </w:t>
            </w:r>
            <w:r>
              <w:t xml:space="preserve">por qué su estrategia (reactiva vs. deliberativa), umbrales, velocidades, HSV del PARE y zona de atención; trade-offs</w:t>
            </w:r>
          </w:p>
        </w:tc>
        <w:tc>
          <w:tcPr>
            <w:tcW w:type="dxa" w:w="100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pPr>
              <w:jc w:val="center"/>
            </w:pPr>
            <w:r>
              <w:rPr>
                <w:color w:val="1E293B"/>
                <w:sz w:val="20"/>
                <w:szCs w:val="20"/>
              </w:rPr>
              <w:t xml:space="preserve">16</w:t>
            </w:r>
          </w:p>
        </w:tc>
      </w:tr>
      <w:tr>
        <w:tc>
          <w:tcPr>
            <w:tcW w:type="dxa" w:w="8360"/>
            <w:tcBorders>
              <w:top w:val="single" w:color="CBD5E1" w:sz="1"/>
              <w:left w:val="single" w:color="CBD5E1" w:sz="1"/>
              <w:bottom w:val="single" w:color="CBD5E1" w:sz="1"/>
              <w:right w:val="single" w:color="CBD5E1" w:sz="1"/>
            </w:tcBorders>
            <w:shd w:fill="FFFFFF" w:val="clear"/>
            <w:tcMar>
              <w:top w:type="dxa" w:w="50"/>
              <w:left w:type="dxa" w:w="110"/>
              <w:bottom w:type="dxa" w:w="50"/>
              <w:right w:type="dxa" w:w="110"/>
            </w:tcMar>
          </w:tcPr>
          <w:p>
            <w:r>
              <w:rPr>
                <w:b/>
                <w:bCs/>
              </w:rPr>
              <w:t xml:space="preserve">Análisis de métricas: </w:t>
            </w:r>
            <w:r>
              <w:t xml:space="preserve">interpreta tiempo, eficiencia, colisiones y cumplimiento de PARE entre rondas; argumenta la mejora con datos</w:t>
            </w:r>
          </w:p>
        </w:tc>
        <w:tc>
          <w:tcPr>
            <w:tcW w:type="dxa" w:w="1000"/>
            <w:tcBorders>
              <w:top w:val="single" w:color="CBD5E1" w:sz="1"/>
              <w:left w:val="single" w:color="CBD5E1" w:sz="1"/>
              <w:bottom w:val="single" w:color="CBD5E1" w:sz="1"/>
              <w:right w:val="single" w:color="CBD5E1" w:sz="1"/>
            </w:tcBorders>
            <w:shd w:fill="FFFFFF" w:val="clear"/>
            <w:tcMar>
              <w:top w:type="dxa" w:w="50"/>
              <w:left w:type="dxa" w:w="110"/>
              <w:bottom w:type="dxa" w:w="50"/>
              <w:right w:type="dxa" w:w="110"/>
            </w:tcMar>
          </w:tcPr>
          <w:p>
            <w:pPr>
              <w:jc w:val="center"/>
            </w:pPr>
            <w:r>
              <w:rPr>
                <w:color w:val="1E293B"/>
                <w:sz w:val="20"/>
                <w:szCs w:val="20"/>
              </w:rPr>
              <w:t xml:space="preserve">14</w:t>
            </w:r>
          </w:p>
        </w:tc>
      </w:tr>
      <w:tr>
        <w:tc>
          <w:tcPr>
            <w:tcW w:type="dxa" w:w="836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r>
              <w:rPr>
                <w:b/>
                <w:bCs/>
              </w:rPr>
              <w:t xml:space="preserve">Dominio del código (por rol): </w:t>
            </w:r>
            <w:r>
              <w:t xml:space="preserve">cada integrante responde sobre su parte (percepción LiDAR / cámara / control / behavior-integración)</w:t>
            </w:r>
          </w:p>
        </w:tc>
        <w:tc>
          <w:tcPr>
            <w:tcW w:type="dxa" w:w="100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pPr>
              <w:jc w:val="center"/>
            </w:pPr>
            <w:r>
              <w:rPr>
                <w:color w:val="1E293B"/>
                <w:sz w:val="20"/>
                <w:szCs w:val="20"/>
              </w:rPr>
              <w:t xml:space="preserve">8</w:t>
            </w:r>
          </w:p>
        </w:tc>
      </w:tr>
      <w:tr>
        <w:tc>
          <w:tcPr>
            <w:tcW w:type="dxa" w:w="8360"/>
            <w:tcBorders>
              <w:top w:val="single" w:color="CBD5E1" w:sz="1"/>
              <w:left w:val="single" w:color="CBD5E1" w:sz="1"/>
              <w:bottom w:val="single" w:color="CBD5E1" w:sz="1"/>
              <w:right w:val="single" w:color="CBD5E1" w:sz="1"/>
            </w:tcBorders>
            <w:shd w:fill="FFFFFF" w:val="clear"/>
            <w:tcMar>
              <w:top w:type="dxa" w:w="50"/>
              <w:left w:type="dxa" w:w="110"/>
              <w:bottom w:type="dxa" w:w="50"/>
              <w:right w:type="dxa" w:w="110"/>
            </w:tcMar>
          </w:tcPr>
          <w:p>
            <w:r>
              <w:rPr>
                <w:b/>
                <w:bCs/>
              </w:rPr>
              <w:t xml:space="preserve">Comunicación: </w:t>
            </w:r>
            <w:r>
              <w:t xml:space="preserve">claridad, evidencia (ros2 bag, video) y respuesta a preguntas</w:t>
            </w:r>
          </w:p>
        </w:tc>
        <w:tc>
          <w:tcPr>
            <w:tcW w:type="dxa" w:w="1000"/>
            <w:tcBorders>
              <w:top w:val="single" w:color="CBD5E1" w:sz="1"/>
              <w:left w:val="single" w:color="CBD5E1" w:sz="1"/>
              <w:bottom w:val="single" w:color="CBD5E1" w:sz="1"/>
              <w:right w:val="single" w:color="CBD5E1" w:sz="1"/>
            </w:tcBorders>
            <w:shd w:fill="FFFFFF" w:val="clear"/>
            <w:tcMar>
              <w:top w:type="dxa" w:w="50"/>
              <w:left w:type="dxa" w:w="110"/>
              <w:bottom w:type="dxa" w:w="50"/>
              <w:right w:type="dxa" w:w="110"/>
            </w:tcMar>
          </w:tcPr>
          <w:p>
            <w:pPr>
              <w:jc w:val="center"/>
            </w:pPr>
            <w:r>
              <w:rPr>
                <w:color w:val="1E293B"/>
                <w:sz w:val="20"/>
                <w:szCs w:val="20"/>
              </w:rPr>
              <w:t xml:space="preserve">4</w:t>
            </w:r>
          </w:p>
        </w:tc>
      </w:tr>
    </w:tbl>
    <w:p>
      <w:pPr>
        <w:pStyle w:val="Heading2"/>
      </w:pPr>
      <w:r>
        <w:t xml:space="preserve">Niveles de desempeño (orientativo)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0F766E" w:val="clear"/>
            <w:tcMar>
              <w:top w:type="dxa" w:w="60"/>
              <w:left w:type="dxa" w:w="110"/>
              <w:bottom w:type="dxa" w:w="60"/>
              <w:right w:type="dxa" w:w="110"/>
            </w:tcMar>
          </w:tcPr>
          <w:p>
            <w:r>
              <w:rPr>
                <w:b/>
                <w:bCs/>
                <w:color w:val="FFFFFF"/>
                <w:sz w:val="21"/>
                <w:szCs w:val="21"/>
              </w:rPr>
              <w:t xml:space="preserve">Nivel</w:t>
            </w:r>
          </w:p>
        </w:tc>
        <w:tc>
          <w:tcPr>
            <w:tcW w:type="dxa" w:w="6560"/>
            <w:tcBorders>
              <w:top w:val="single" w:color="CBD5E1" w:sz="1"/>
              <w:left w:val="single" w:color="CBD5E1" w:sz="1"/>
              <w:bottom w:val="single" w:color="CBD5E1" w:sz="1"/>
              <w:right w:val="single" w:color="CBD5E1" w:sz="1"/>
            </w:tcBorders>
            <w:shd w:fill="0F766E" w:val="clear"/>
            <w:tcMar>
              <w:top w:type="dxa" w:w="60"/>
              <w:left w:type="dxa" w:w="110"/>
              <w:bottom w:type="dxa" w:w="60"/>
              <w:right w:type="dxa" w:w="110"/>
            </w:tcMar>
          </w:tcPr>
          <w:p>
            <w:pPr>
              <w:jc w:val="center"/>
            </w:pPr>
            <w:r>
              <w:rPr>
                <w:b/>
                <w:bCs/>
                <w:color w:val="FFFFFF"/>
                <w:sz w:val="21"/>
                <w:szCs w:val="21"/>
              </w:rPr>
              <w:t xml:space="preserve">Descripción</w:t>
            </w:r>
          </w:p>
        </w:tc>
      </w:tr>
      <w:tr>
        <w:tc>
          <w:tcPr>
            <w:tcW w:type="dxa" w:w="2800"/>
            <w:tcBorders>
              <w:top w:val="single" w:color="CBD5E1" w:sz="1"/>
              <w:left w:val="single" w:color="CBD5E1" w:sz="1"/>
              <w:bottom w:val="single" w:color="CBD5E1" w:sz="1"/>
              <w:right w:val="single" w:color="CBD5E1" w:sz="1"/>
            </w:tcBorders>
            <w:shd w:fill="FFFFFF" w:val="clear"/>
            <w:tcMar>
              <w:top w:type="dxa" w:w="50"/>
              <w:left w:type="dxa" w:w="110"/>
              <w:bottom w:type="dxa" w:w="50"/>
              <w:right w:type="dxa" w:w="110"/>
            </w:tcMar>
          </w:tcPr>
          <w:p>
            <w:r>
              <w:rPr>
                <w:b/>
                <w:bCs/>
                <w:color w:val="166534"/>
              </w:rPr>
              <w:t xml:space="preserve">Logrado (90–100 %)</w:t>
            </w:r>
          </w:p>
        </w:tc>
        <w:tc>
          <w:tcPr>
            <w:tcW w:type="dxa" w:w="6560"/>
            <w:tcBorders>
              <w:top w:val="single" w:color="CBD5E1" w:sz="1"/>
              <w:left w:val="single" w:color="CBD5E1" w:sz="1"/>
              <w:bottom w:val="single" w:color="CBD5E1" w:sz="1"/>
              <w:right w:val="single" w:color="CBD5E1" w:sz="1"/>
            </w:tcBorders>
            <w:shd w:fill="FFFFFF" w:val="clear"/>
            <w:tcMar>
              <w:top w:type="dxa" w:w="50"/>
              <w:left w:type="dxa" w:w="110"/>
              <w:bottom w:type="dxa" w:w="50"/>
              <w:right w:type="dxa" w:w="110"/>
            </w:tcMar>
          </w:tcPr>
          <w:p>
            <w:pPr>
              <w:jc w:val="center"/>
            </w:pPr>
            <w:r>
              <w:rPr>
                <w:color w:val="1E293B"/>
                <w:sz w:val="20"/>
                <w:szCs w:val="20"/>
              </w:rPr>
              <w:t xml:space="preserve">Llega en ambas rondas, 0 colisiones, respeta todos los PARE sin falsos, ruta eficiente y defensa sólida por rol con análisis de datos.</w:t>
            </w:r>
          </w:p>
        </w:tc>
      </w:tr>
      <w:tr>
        <w:tc>
          <w:tcPr>
            <w:tcW w:type="dxa" w:w="280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r>
              <w:rPr>
                <w:b/>
                <w:bCs/>
                <w:color w:val="0F766E"/>
              </w:rPr>
              <w:t xml:space="preserve">Satisfactorio (70–89 %)</w:t>
            </w:r>
          </w:p>
        </w:tc>
        <w:tc>
          <w:tcPr>
            <w:tcW w:type="dxa" w:w="656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pPr>
              <w:jc w:val="center"/>
            </w:pPr>
            <w:r>
              <w:rPr>
                <w:color w:val="1E293B"/>
                <w:sz w:val="20"/>
                <w:szCs w:val="20"/>
              </w:rPr>
              <w:t xml:space="preserve">Llega a la meta, colisiones mínimas, respeta la mayoría de PARE; defensa correcta con algún vacío.</w:t>
            </w:r>
          </w:p>
        </w:tc>
      </w:tr>
      <w:tr>
        <w:tc>
          <w:tcPr>
            <w:tcW w:type="dxa" w:w="2800"/>
            <w:tcBorders>
              <w:top w:val="single" w:color="CBD5E1" w:sz="1"/>
              <w:left w:val="single" w:color="CBD5E1" w:sz="1"/>
              <w:bottom w:val="single" w:color="CBD5E1" w:sz="1"/>
              <w:right w:val="single" w:color="CBD5E1" w:sz="1"/>
            </w:tcBorders>
            <w:shd w:fill="FFFFFF" w:val="clear"/>
            <w:tcMar>
              <w:top w:type="dxa" w:w="50"/>
              <w:left w:type="dxa" w:w="110"/>
              <w:bottom w:type="dxa" w:w="50"/>
              <w:right w:type="dxa" w:w="110"/>
            </w:tcMar>
          </w:tcPr>
          <w:p>
            <w:r>
              <w:rPr>
                <w:b/>
                <w:bCs/>
                <w:color w:val="B45309"/>
              </w:rPr>
              <w:t xml:space="preserve">En proceso (50–69 %)</w:t>
            </w:r>
          </w:p>
        </w:tc>
        <w:tc>
          <w:tcPr>
            <w:tcW w:type="dxa" w:w="6560"/>
            <w:tcBorders>
              <w:top w:val="single" w:color="CBD5E1" w:sz="1"/>
              <w:left w:val="single" w:color="CBD5E1" w:sz="1"/>
              <w:bottom w:val="single" w:color="CBD5E1" w:sz="1"/>
              <w:right w:val="single" w:color="CBD5E1" w:sz="1"/>
            </w:tcBorders>
            <w:shd w:fill="FFFFFF" w:val="clear"/>
            <w:tcMar>
              <w:top w:type="dxa" w:w="50"/>
              <w:left w:type="dxa" w:w="110"/>
              <w:bottom w:type="dxa" w:w="50"/>
              <w:right w:type="dxa" w:w="110"/>
            </w:tcMar>
          </w:tcPr>
          <w:p>
            <w:pPr>
              <w:jc w:val="center"/>
            </w:pPr>
            <w:r>
              <w:rPr>
                <w:color w:val="1E293B"/>
                <w:sz w:val="20"/>
                <w:szCs w:val="20"/>
              </w:rPr>
              <w:t xml:space="preserve">Llega con reintentos o colisiones, o se salta/inventa PARE; defensa parcial.</w:t>
            </w:r>
          </w:p>
        </w:tc>
      </w:tr>
      <w:tr>
        <w:tc>
          <w:tcPr>
            <w:tcW w:type="dxa" w:w="280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r>
              <w:rPr>
                <w:b/>
                <w:bCs/>
                <w:color w:val="B91C1C"/>
              </w:rPr>
              <w:t xml:space="preserve">Inicial (&lt; 50 %)</w:t>
            </w:r>
          </w:p>
        </w:tc>
        <w:tc>
          <w:tcPr>
            <w:tcW w:type="dxa" w:w="6560"/>
            <w:tcBorders>
              <w:top w:val="single" w:color="CBD5E1" w:sz="1"/>
              <w:left w:val="single" w:color="CBD5E1" w:sz="1"/>
              <w:bottom w:val="single" w:color="CBD5E1" w:sz="1"/>
              <w:right w:val="single" w:color="CBD5E1" w:sz="1"/>
            </w:tcBorders>
            <w:shd w:fill="F1F5F9" w:val="clear"/>
            <w:tcMar>
              <w:top w:type="dxa" w:w="50"/>
              <w:left w:type="dxa" w:w="110"/>
              <w:bottom w:type="dxa" w:w="50"/>
              <w:right w:type="dxa" w:w="110"/>
            </w:tcMar>
          </w:tcPr>
          <w:p>
            <w:pPr>
              <w:jc w:val="center"/>
            </w:pPr>
            <w:r>
              <w:rPr>
                <w:color w:val="1E293B"/>
                <w:sz w:val="20"/>
                <w:szCs w:val="20"/>
              </w:rPr>
              <w:t xml:space="preserve">No llega de forma autónoma, ignora los PARE o no sustenta el diseño.</w:t>
            </w:r>
          </w:p>
        </w:tc>
      </w:tr>
    </w:tbl>
    <w:p>
      <w:pPr>
        <w:pStyle w:val="Heading1"/>
      </w:pPr>
      <w:r>
        <w:t xml:space="preserve">Preguntas de defensa (ejemplos para el Quipu individual)</w:t>
      </w:r>
    </w:p>
    <w:p>
      <w:pPr>
        <w:pStyle w:val="ListParagraph"/>
        <w:numPr>
          <w:ilvl w:val="0"/>
          <w:numId w:val="3"/>
        </w:numPr>
        <w:spacing w:after="60"/>
      </w:pPr>
      <w:r>
        <w:t xml:space="preserve">¿Tu robot usa regla de la mano o construye un mapa? ¿Qué garantiza cada enfoque en este laberinto?</w:t>
      </w:r>
    </w:p>
    <w:p>
      <w:pPr>
        <w:pStyle w:val="ListParagraph"/>
        <w:numPr>
          <w:ilvl w:val="0"/>
          <w:numId w:val="3"/>
        </w:numPr>
        <w:spacing w:after="60"/>
      </w:pPr>
      <w:r>
        <w:t xml:space="preserve">¿Cómo detectas una bifurcación frente a un tramo recto usando solo el </w:t>
      </w:r>
      <w:r>
        <w:rPr>
          <w:rFonts w:ascii="Consolas" w:cs="Consolas" w:eastAsia="Consolas" w:hAnsi="Consolas"/>
          <w:color w:val="B91C1C"/>
          <w:sz w:val="19"/>
          <w:szCs w:val="19"/>
        </w:rPr>
        <w:t xml:space="preserve">/scan</w:t>
      </w:r>
      <w:r>
        <w:t xml:space="preserve">? ¿Qué umbral usaste?</w:t>
      </w:r>
    </w:p>
    <w:p>
      <w:pPr>
        <w:pStyle w:val="ListParagraph"/>
        <w:numPr>
          <w:ilvl w:val="0"/>
          <w:numId w:val="3"/>
        </w:numPr>
        <w:spacing w:after="60"/>
      </w:pPr>
      <w:r>
        <w:t xml:space="preserve">¿Cómo detectas la señal de PARE con la cámara? ¿Qué rango HSV usaste y cómo evitas falsos positivos?</w:t>
      </w:r>
    </w:p>
    <w:p>
      <w:pPr>
        <w:pStyle w:val="ListParagraph"/>
        <w:numPr>
          <w:ilvl w:val="0"/>
          <w:numId w:val="3"/>
        </w:numPr>
        <w:spacing w:after="60"/>
      </w:pPr>
      <w:r>
        <w:rPr>
          <w:b/>
          <w:bCs/>
        </w:rPr>
        <w:t xml:space="preserve">Fusión: </w:t>
      </w:r>
      <w:r>
        <w:t xml:space="preserve">si el LiDAR dice “avanza” y la cámara dice “PARE”, ¿quién manda y por qué? Describe tu regla de arbitraje.</w:t>
      </w:r>
    </w:p>
    <w:p>
      <w:pPr>
        <w:pStyle w:val="ListParagraph"/>
        <w:numPr>
          <w:ilvl w:val="0"/>
          <w:numId w:val="3"/>
        </w:numPr>
        <w:spacing w:after="60"/>
      </w:pPr>
      <w:r>
        <w:t xml:space="preserve">¿Cómo detectas y sales de un callejón sin salida sin chocar? ¿Cómo evitas reentrar?</w:t>
      </w:r>
    </w:p>
    <w:p>
      <w:pPr>
        <w:pStyle w:val="ListParagraph"/>
        <w:numPr>
          <w:ilvl w:val="0"/>
          <w:numId w:val="3"/>
        </w:numPr>
        <w:spacing w:after="60"/>
      </w:pPr>
      <w:r>
        <w:t xml:space="preserve">¿Cómo mediste la longitud de ruta? ¿Qué tan confiable es tu odometría tras varios giros?</w:t>
      </w:r>
    </w:p>
    <w:p>
      <w:pPr>
        <w:pStyle w:val="ListParagraph"/>
        <w:numPr>
          <w:ilvl w:val="0"/>
          <w:numId w:val="3"/>
        </w:numPr>
        <w:spacing w:after="60"/>
      </w:pPr>
      <w:r>
        <w:t xml:space="preserve">Si reconfiguro paredes y muevo los PARE, ¿tu robot sigue funcionando? ¿Por qué?</w:t>
      </w:r>
    </w:p>
    <w:p>
      <w:pPr>
        <w:pStyle w:val="Heading1"/>
      </w:pPr>
      <w:r>
        <w:t xml:space="preserve">Cierre reflexivo (al final del Gran Prix)</w:t>
      </w:r>
    </w:p>
    <w:p>
      <w:pPr>
        <w:pBdr>
          <w:left w:val="single" w:color="0D9488" w:sz="18" w:space="12"/>
        </w:pBdr>
        <w:spacing w:after="160" w:before="120"/>
        <w:ind w:left="360"/>
      </w:pPr>
      <w:r>
        <w:rPr>
          <w:i/>
          <w:iCs/>
          <w:color w:val="334155"/>
        </w:rPr>
        <w:t xml:space="preserve">¿Qué eficiencia de ruta lograste y cuántos PARE respetaste sin falsos positivos? ¿Cuándo te convino que la cámara mirara todo el tiempo y cuándo solo en las intersecciones? Si el LiDAR y la cámara se contradijeron, ¿cómo resolviste el conflicto? ¿Tu odometría se degradó con los giros — cómo lo compensaste? ¿Qué parte de los Retos Clasificatorios fue la que más te sirvió en el Gran Prix y por qué?</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Robótica Móvil 2026-I · ESAN · Página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2"/>
      </w:pBdr>
      <w:jc w:val="right"/>
    </w:pPr>
    <w:r>
      <w:rPr>
        <w:color w:val="64748B"/>
        <w:sz w:val="16"/>
        <w:szCs w:val="16"/>
      </w:rPr>
      <w:t xml:space="preserve">Gran Prix CapyTown · El Qhapaq Ñan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BD5E1" w:sz="6" w:space="4"/>
      </w:pBdr>
      <w:spacing w:after="140" w:before="260"/>
      <w:outlineLvl w:val="0"/>
    </w:pPr>
    <w:rPr>
      <w:rFonts w:ascii="Arial" w:cs="Arial" w:eastAsia="Arial" w:hAnsi="Arial"/>
      <w:b/>
      <w:bCs/>
      <w:color w:val="0F766E"/>
      <w:sz w:val="30"/>
      <w:szCs w:val="30"/>
    </w:rPr>
  </w:style>
  <w:style w:type="paragraph" w:styleId="Heading2">
    <w:name w:val="Heading 2"/>
    <w:basedOn w:val="Normal"/>
    <w:next w:val="Normal"/>
    <w:qFormat/>
    <w:pPr>
      <w:spacing w:after="100" w:before="180"/>
      <w:outlineLvl w:val="1"/>
    </w:pPr>
    <w:rPr>
      <w:rFonts w:ascii="Arial" w:cs="Arial" w:eastAsia="Arial" w:hAnsi="Arial"/>
      <w:b/>
      <w:bCs/>
      <w:color w:val="33415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95658707b8a554e6bd2ac859e7d2eb9f175b16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2026-06-24T00:07:35.525Z</dcterms:created>
  <dcterms:modified xsi:type="dcterms:W3CDTF">2026-06-24T00:07:35.525Z</dcterms:modified>
</cp:coreProperties>
</file>

<file path=docProps/custom.xml><?xml version="1.0" encoding="utf-8"?>
<Properties xmlns="http://schemas.openxmlformats.org/officeDocument/2006/custom-properties" xmlns:vt="http://schemas.openxmlformats.org/officeDocument/2006/docPropsVTypes"/>
</file>