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5959" w14:textId="77777777" w:rsidR="000C2002" w:rsidRDefault="00000000">
      <w:pPr>
        <w:spacing w:after="15"/>
        <w:jc w:val="center"/>
      </w:pPr>
      <w:r>
        <w:rPr>
          <w:rFonts w:ascii="Calibri" w:eastAsia="Calibri" w:hAnsi="Calibri" w:cs="Calibri"/>
          <w:b/>
          <w:bCs/>
          <w:color w:val="1F3864"/>
          <w:spacing w:val="80"/>
          <w:sz w:val="26"/>
          <w:szCs w:val="26"/>
        </w:rPr>
        <w:t>ALEX RUDD</w:t>
      </w:r>
    </w:p>
    <w:p w14:paraId="25D66388" w14:textId="77777777" w:rsidR="000C2002" w:rsidRDefault="00000000">
      <w:pPr>
        <w:spacing w:after="20"/>
        <w:jc w:val="center"/>
      </w:pPr>
      <w:r>
        <w:rPr>
          <w:rFonts w:ascii="Calibri" w:eastAsia="Calibri" w:hAnsi="Calibri" w:cs="Calibri"/>
          <w:color w:val="666666"/>
          <w:sz w:val="17"/>
          <w:szCs w:val="17"/>
        </w:rPr>
        <w:t xml:space="preserve">Atlanta, GA  |  770-846-8242  |  Paul.Alex.Rudd@gmail.com  |  </w:t>
      </w:r>
      <w:hyperlink r:id="rId5" w:history="1">
        <w:r>
          <w:rPr>
            <w:rFonts w:ascii="Calibri" w:eastAsia="Calibri" w:hAnsi="Calibri" w:cs="Calibri"/>
            <w:color w:val="2E75B6"/>
            <w:sz w:val="17"/>
            <w:szCs w:val="17"/>
            <w:u w:val="single"/>
          </w:rPr>
          <w:t>LinkedIn</w:t>
        </w:r>
      </w:hyperlink>
    </w:p>
    <w:p w14:paraId="2CB514BA" w14:textId="77777777" w:rsidR="000C2002" w:rsidRDefault="00000000">
      <w:pPr>
        <w:pStyle w:val="Heading1"/>
        <w:pBdr>
          <w:bottom w:val="single" w:sz="1" w:space="0" w:color="2E75B6"/>
        </w:pBdr>
        <w:spacing w:before="80" w:after="15"/>
      </w:pPr>
      <w:r>
        <w:rPr>
          <w:rFonts w:ascii="Calibri" w:eastAsia="Calibri" w:hAnsi="Calibri" w:cs="Calibri"/>
          <w:b/>
          <w:bCs/>
          <w:color w:val="1F3864"/>
          <w:spacing w:val="50"/>
        </w:rPr>
        <w:t>PROFESSIONAL SUMMARY</w:t>
      </w:r>
    </w:p>
    <w:p w14:paraId="39E8DF83" w14:textId="77777777" w:rsidR="000C2002" w:rsidRDefault="00000000" w:rsidP="002574C4">
      <w:pPr>
        <w:spacing w:before="15" w:after="25"/>
        <w:jc w:val="both"/>
      </w:pPr>
      <w:r>
        <w:rPr>
          <w:rFonts w:ascii="Calibri" w:eastAsia="Calibri" w:hAnsi="Calibri" w:cs="Calibri"/>
          <w:color w:val="333333"/>
          <w:sz w:val="19"/>
          <w:szCs w:val="19"/>
        </w:rPr>
        <w:t>Competitive intelligence and strategy leader who translates competitive dynamics, market signals, and buyer intelligence into field-ready assets that help enterprise sales teams win. 10+ years building CI programs in enterprise SaaS and Fortune 500 environments—from designing competitive tracking systems at BASF to creating battle cards, sales plays, and rep coaching programs that drove 30% revenue growth at a global insights firm. Deep cross-functional influence with product and product marketing teams, and a track record of executive briefings that shape go-to-market strategy. Georgia Tech Executive MBA.</w:t>
      </w:r>
    </w:p>
    <w:p w14:paraId="35D38A6B" w14:textId="77777777" w:rsidR="000C2002" w:rsidRDefault="00000000">
      <w:pPr>
        <w:pStyle w:val="Heading1"/>
        <w:pBdr>
          <w:bottom w:val="single" w:sz="1" w:space="0" w:color="2E75B6"/>
        </w:pBdr>
        <w:spacing w:before="80" w:after="15"/>
      </w:pPr>
      <w:r>
        <w:rPr>
          <w:rFonts w:ascii="Calibri" w:eastAsia="Calibri" w:hAnsi="Calibri" w:cs="Calibri"/>
          <w:b/>
          <w:bCs/>
          <w:color w:val="1F3864"/>
          <w:spacing w:val="50"/>
        </w:rPr>
        <w:t>PROFESSIONAL EXPERIENCE</w:t>
      </w:r>
    </w:p>
    <w:p w14:paraId="61D8BCCE" w14:textId="77777777" w:rsidR="000C2002" w:rsidRDefault="00000000">
      <w:pPr>
        <w:tabs>
          <w:tab w:val="right" w:pos="10800"/>
        </w:tabs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Senior Manager, Revenue Insights &amp; Analytics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2024 – 2025</w:t>
      </w:r>
    </w:p>
    <w:p w14:paraId="1E4018BF" w14:textId="77777777" w:rsidR="000C2002" w:rsidRDefault="00000000">
      <w:pPr>
        <w:spacing w:after="1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Workday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 |  Atlanta, GA</w:t>
      </w:r>
    </w:p>
    <w:p w14:paraId="47199220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Served as trusted intelligence partner to a 3,500-person enterprise SaaS sales organization, delivering competitive pipeline insights and 9 operational dashboards that became the standard for pipeline reviews, deal strategy, and QBRs from frontline reps through C-Suite.</w:t>
      </w:r>
    </w:p>
    <w:p w14:paraId="3B07B742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Partnered with Sales Strategy on competitive win/loss programs including a “no loss to SAP” initiative, uncovering regional discounting patterns and competitive vulnerabilities that informed deal positioning and field enablement priorities.</w:t>
      </w:r>
    </w:p>
    <w:p w14:paraId="320E2C74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Built and led cross-functional team of 13 analysts, integrating CRM, pipeline, and competitive data to establish a scalable insights infrastructure enabling data-driven selling strategies across the enterprise.</w:t>
      </w:r>
    </w:p>
    <w:p w14:paraId="13338D68" w14:textId="77777777" w:rsidR="000C2002" w:rsidRDefault="00000000">
      <w:pPr>
        <w:tabs>
          <w:tab w:val="right" w:pos="10800"/>
        </w:tabs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Principal Consultant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2023 – 2025</w:t>
      </w:r>
    </w:p>
    <w:p w14:paraId="6EEB207D" w14:textId="77777777" w:rsidR="000C2002" w:rsidRDefault="00000000">
      <w:pPr>
        <w:spacing w:after="1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Piedmont Innovation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 |  Atlanta, GA</w:t>
      </w:r>
    </w:p>
    <w:p w14:paraId="54FA6B0D" w14:textId="77777777" w:rsidR="007A13A9" w:rsidRPr="007A13A9" w:rsidRDefault="007A13A9">
      <w:pPr>
        <w:pStyle w:val="ListParagraph"/>
        <w:numPr>
          <w:ilvl w:val="0"/>
          <w:numId w:val="2"/>
        </w:numPr>
        <w:spacing w:before="5" w:after="5"/>
        <w:rPr>
          <w:rFonts w:ascii="Calibri" w:eastAsia="Calibri" w:hAnsi="Calibri" w:cs="Calibri"/>
          <w:color w:val="333333"/>
          <w:sz w:val="19"/>
          <w:szCs w:val="19"/>
        </w:rPr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Delivered competitive intelligence and commercial viability assessments for clients, analyzing competitor positioning, pricing strategy, channel dynamics, and go-to-market approach to shape product launch decisions and field selling strategies. </w:t>
      </w:r>
    </w:p>
    <w:p w14:paraId="44B5BB39" w14:textId="28B8CF6E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Reduced competitive analysis cycle times by 80% through custom AI/ML workflows, enabling faster market sensing, pricing intelligence, and data-driven storytelling for Fortune 500 clients.</w:t>
      </w:r>
    </w:p>
    <w:p w14:paraId="3334292B" w14:textId="77777777" w:rsidR="000C2002" w:rsidRDefault="00000000">
      <w:pPr>
        <w:tabs>
          <w:tab w:val="right" w:pos="10800"/>
        </w:tabs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Practice Group Leader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2019 – 2023</w:t>
      </w:r>
    </w:p>
    <w:p w14:paraId="2F589DC8" w14:textId="77777777" w:rsidR="000C2002" w:rsidRDefault="00000000">
      <w:pPr>
        <w:spacing w:after="1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Evalueserve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 |  Atlanta, GA</w:t>
      </w:r>
    </w:p>
    <w:p w14:paraId="72BC8B2C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Grew practice revenue 30% year-on-year by developing battle cards, objection handling guides, competitive scenario playbooks, and sales plays that equipped client field teams to win against established competitors in actively contested enterprise accounts.</w:t>
      </w:r>
    </w:p>
    <w:p w14:paraId="4533E2EB" w14:textId="77777777" w:rsidR="007A13A9" w:rsidRDefault="007A13A9">
      <w:pPr>
        <w:pStyle w:val="ListParagraph"/>
        <w:numPr>
          <w:ilvl w:val="0"/>
          <w:numId w:val="2"/>
        </w:numPr>
        <w:spacing w:before="5" w:after="5"/>
        <w:rPr>
          <w:rFonts w:ascii="Calibri" w:eastAsia="Calibri" w:hAnsi="Calibri" w:cs="Calibri"/>
          <w:color w:val="333333"/>
          <w:sz w:val="19"/>
          <w:szCs w:val="19"/>
        </w:rPr>
      </w:pPr>
      <w:r>
        <w:rPr>
          <w:rFonts w:ascii="Calibri" w:eastAsia="Calibri" w:hAnsi="Calibri" w:cs="Calibri"/>
          <w:color w:val="333333"/>
          <w:sz w:val="19"/>
          <w:szCs w:val="19"/>
        </w:rPr>
        <w:t>Coached account teams through live competitive situations, translating competitor weaknesses, customer decision criteria, and deal-specific positioning into talk tracks and strategies that improved win rates and deepened client relationships.</w:t>
      </w:r>
    </w:p>
    <w:p w14:paraId="5676091A" w14:textId="6E54C5C4" w:rsidR="000C2002" w:rsidRPr="007A13A9" w:rsidRDefault="007A13A9">
      <w:pPr>
        <w:pStyle w:val="ListParagraph"/>
        <w:numPr>
          <w:ilvl w:val="0"/>
          <w:numId w:val="2"/>
        </w:numPr>
        <w:spacing w:before="5" w:after="5"/>
        <w:rPr>
          <w:rFonts w:ascii="Calibri" w:eastAsia="Calibri" w:hAnsi="Calibri" w:cs="Calibri"/>
          <w:color w:val="333333"/>
          <w:sz w:val="19"/>
          <w:szCs w:val="19"/>
        </w:rPr>
      </w:pPr>
      <w:r>
        <w:rPr>
          <w:rFonts w:ascii="Calibri" w:eastAsia="Calibri" w:hAnsi="Calibri" w:cs="Calibri"/>
          <w:color w:val="333333"/>
          <w:sz w:val="19"/>
          <w:szCs w:val="19"/>
        </w:rPr>
        <w:t>Led North American insights practice for Fortune 500 clients, integrating primary research, market data, and competitive analysis to develop fact-based positioning and selling strategies adopted by client field sales teams across actively contested enterprise markets.</w:t>
      </w:r>
    </w:p>
    <w:p w14:paraId="2C922B6F" w14:textId="77777777" w:rsidR="000C2002" w:rsidRDefault="00000000">
      <w:pPr>
        <w:tabs>
          <w:tab w:val="right" w:pos="10800"/>
        </w:tabs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Competitive Intelligence &amp; Innovation Manager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2017 – 2019</w:t>
      </w:r>
    </w:p>
    <w:p w14:paraId="21DC60F4" w14:textId="77777777" w:rsidR="000C2002" w:rsidRDefault="00000000">
      <w:pPr>
        <w:spacing w:after="1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BASF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 |  Wyandotte, MI</w:t>
      </w:r>
    </w:p>
    <w:p w14:paraId="51358CCC" w14:textId="1BD94F6F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managed business unit competitive intelligence program tracking product launches, patent filings, earnings calls, and market signals across 9 product groups, delivering insights that directly informed product roadmap decisions, go/no-go investment gates, and prioritization.</w:t>
      </w:r>
    </w:p>
    <w:p w14:paraId="0E6742B5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Identified multiple competitor product launches in test markets through systematic monitoring of public disclosures (10Qs, 10Ks, analyst days, trademarks), enabling proactive strategic responses that de-risked BASF’s 5–7 year development pipeline.</w:t>
      </w:r>
    </w:p>
    <w:p w14:paraId="2A76D001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Directed $500K innovation budget, managed research engagements with expert networks (GLG, AlphaSights), and built market forecast models incorporating competitive intelligence and consumer trends.</w:t>
      </w:r>
    </w:p>
    <w:p w14:paraId="6E44B054" w14:textId="77777777" w:rsidR="000C2002" w:rsidRDefault="00000000">
      <w:pPr>
        <w:tabs>
          <w:tab w:val="right" w:pos="10800"/>
        </w:tabs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Strategy Manager &amp; Strategic Marketing Manager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2015 – 2017</w:t>
      </w:r>
    </w:p>
    <w:p w14:paraId="1D1E8FD3" w14:textId="77777777" w:rsidR="000C2002" w:rsidRDefault="00000000">
      <w:pPr>
        <w:spacing w:after="1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BASF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 |  Multiple Locations</w:t>
      </w:r>
    </w:p>
    <w:p w14:paraId="68C83666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Redefined $250M business unit’s growth opportunity through bottoms-up competitive market analysis, increasing addressable market by 30% and directly informing double-digit sales target adjustments approved for the annual operating plan.</w:t>
      </w:r>
    </w:p>
    <w:p w14:paraId="63DBD50C" w14:textId="77777777" w:rsidR="000C2002" w:rsidRDefault="00000000">
      <w:pPr>
        <w:pStyle w:val="ListParagraph"/>
        <w:numPr>
          <w:ilvl w:val="0"/>
          <w:numId w:val="2"/>
        </w:numPr>
        <w:spacing w:before="5" w:after="5"/>
      </w:pPr>
      <w:r>
        <w:rPr>
          <w:rFonts w:ascii="Calibri" w:eastAsia="Calibri" w:hAnsi="Calibri" w:cs="Calibri"/>
          <w:color w:val="333333"/>
          <w:sz w:val="19"/>
          <w:szCs w:val="19"/>
        </w:rPr>
        <w:t>Delivered weekly competitive briefings to BU vice president, synthesizing market dynamics, competitive signals, and trend analysis into decisive narratives that shaped strategic planning and resource allocation.</w:t>
      </w:r>
    </w:p>
    <w:p w14:paraId="03892014" w14:textId="77777777" w:rsidR="000C2002" w:rsidRDefault="00000000">
      <w:pPr>
        <w:pStyle w:val="Heading1"/>
        <w:pBdr>
          <w:bottom w:val="single" w:sz="1" w:space="0" w:color="2E75B6"/>
        </w:pBdr>
        <w:spacing w:before="80" w:after="15"/>
      </w:pPr>
      <w:r>
        <w:rPr>
          <w:rFonts w:ascii="Calibri" w:eastAsia="Calibri" w:hAnsi="Calibri" w:cs="Calibri"/>
          <w:b/>
          <w:bCs/>
          <w:color w:val="1F3864"/>
          <w:spacing w:val="50"/>
        </w:rPr>
        <w:t>EDUCATION</w:t>
      </w:r>
    </w:p>
    <w:p w14:paraId="669E16B6" w14:textId="77777777" w:rsidR="000C2002" w:rsidRDefault="00000000">
      <w:pPr>
        <w:tabs>
          <w:tab w:val="right" w:pos="10800"/>
        </w:tabs>
        <w:spacing w:before="5" w:after="5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Executive MBA, Global Business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 –  </w:t>
      </w: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Georgia Institute of Technology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2024 – 2025</w:t>
      </w:r>
    </w:p>
    <w:p w14:paraId="6ECE3359" w14:textId="77777777" w:rsidR="000C2002" w:rsidRDefault="00000000">
      <w:pPr>
        <w:tabs>
          <w:tab w:val="right" w:pos="10800"/>
        </w:tabs>
        <w:spacing w:before="5" w:after="5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Ph.D., Chemistry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 –  </w:t>
      </w: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University of Minnesota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2009 – 2014</w:t>
      </w:r>
    </w:p>
    <w:p w14:paraId="55CE921A" w14:textId="77777777" w:rsidR="000C2002" w:rsidRDefault="00000000">
      <w:pPr>
        <w:tabs>
          <w:tab w:val="right" w:pos="10800"/>
        </w:tabs>
        <w:spacing w:before="5" w:after="5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B.S., Chemistry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 –  </w:t>
      </w: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Emory University</w:t>
      </w:r>
      <w:r>
        <w:rPr>
          <w:rFonts w:ascii="Calibri" w:eastAsia="Calibri" w:hAnsi="Calibri" w:cs="Calibri"/>
          <w:color w:val="666666"/>
          <w:sz w:val="17"/>
          <w:szCs w:val="17"/>
        </w:rPr>
        <w:tab/>
      </w:r>
      <w:r>
        <w:rPr>
          <w:rFonts w:ascii="Calibri" w:eastAsia="Calibri" w:hAnsi="Calibri" w:cs="Calibri"/>
          <w:color w:val="666666"/>
          <w:sz w:val="17"/>
          <w:szCs w:val="17"/>
        </w:rPr>
        <w:t>2005 – 2009</w:t>
      </w:r>
    </w:p>
    <w:p w14:paraId="5BA15F10" w14:textId="77777777" w:rsidR="000C2002" w:rsidRDefault="00000000">
      <w:pPr>
        <w:pStyle w:val="Heading1"/>
        <w:pBdr>
          <w:bottom w:val="single" w:sz="1" w:space="0" w:color="2E75B6"/>
        </w:pBdr>
        <w:spacing w:before="80" w:after="15"/>
      </w:pPr>
      <w:r>
        <w:rPr>
          <w:rFonts w:ascii="Calibri" w:eastAsia="Calibri" w:hAnsi="Calibri" w:cs="Calibri"/>
          <w:b/>
          <w:bCs/>
          <w:color w:val="1F3864"/>
          <w:spacing w:val="50"/>
        </w:rPr>
        <w:t>CORE COMPETENCIES</w:t>
      </w:r>
    </w:p>
    <w:p w14:paraId="58C8DB14" w14:textId="77777777" w:rsidR="000C2002" w:rsidRDefault="00000000">
      <w:pPr>
        <w:spacing w:before="20" w:after="8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Competitive Intelligence: </w:t>
      </w:r>
      <w:r>
        <w:rPr>
          <w:rFonts w:ascii="Calibri" w:eastAsia="Calibri" w:hAnsi="Calibri" w:cs="Calibri"/>
          <w:color w:val="333333"/>
          <w:sz w:val="17"/>
          <w:szCs w:val="17"/>
        </w:rPr>
        <w:t>Competitive Analysis  |  Market Sensing  |  Battle Cards  |  Win/Loss Analysis  |  Pricing Intelligence  |  Field Enablement</w:t>
      </w:r>
    </w:p>
    <w:p w14:paraId="2C89682E" w14:textId="77777777" w:rsidR="000C2002" w:rsidRDefault="00000000">
      <w:pPr>
        <w:spacing w:after="8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Strategy &amp; GTM: </w:t>
      </w:r>
      <w:r>
        <w:rPr>
          <w:rFonts w:ascii="Calibri" w:eastAsia="Calibri" w:hAnsi="Calibri" w:cs="Calibri"/>
          <w:color w:val="333333"/>
          <w:sz w:val="17"/>
          <w:szCs w:val="17"/>
        </w:rPr>
        <w:t>Growth Strategy  |  Go-to-Market Planning  |  Sales Plays  |  Opportunity Sizing  |  Market Forecasting  |  Selling Strategies</w:t>
      </w:r>
    </w:p>
    <w:p w14:paraId="2E6E855A" w14:textId="77777777" w:rsidR="000C2002" w:rsidRDefault="00000000">
      <w:pPr>
        <w:spacing w:after="8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Leadership: </w:t>
      </w:r>
      <w:r>
        <w:rPr>
          <w:rFonts w:ascii="Calibri" w:eastAsia="Calibri" w:hAnsi="Calibri" w:cs="Calibri"/>
          <w:color w:val="333333"/>
          <w:sz w:val="17"/>
          <w:szCs w:val="17"/>
        </w:rPr>
        <w:t>Cross-Functional Collaboration  |  Executive Briefings  |  Stakeholder Influence  |  Rep Coaching &amp; Deal Support  |  Data-Driven Storytelling</w:t>
      </w:r>
    </w:p>
    <w:p w14:paraId="60FEA2F6" w14:textId="77777777" w:rsidR="000C2002" w:rsidRDefault="00000000">
      <w:pPr>
        <w:spacing w:after="8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Tools &amp; Platforms: </w:t>
      </w:r>
      <w:r>
        <w:rPr>
          <w:rFonts w:ascii="Calibri" w:eastAsia="Calibri" w:hAnsi="Calibri" w:cs="Calibri"/>
          <w:color w:val="333333"/>
          <w:sz w:val="17"/>
          <w:szCs w:val="17"/>
        </w:rPr>
        <w:t>Tableau  |  PowerBI  |  Sigma  |  Snowflake  |  Salesforce  |  Python  |  AI/ML</w:t>
      </w:r>
    </w:p>
    <w:sectPr w:rsidR="000C2002">
      <w:pgSz w:w="12240" w:h="15840"/>
      <w:pgMar w:top="460" w:right="720" w:bottom="4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98A"/>
    <w:multiLevelType w:val="hybridMultilevel"/>
    <w:tmpl w:val="BDDAD080"/>
    <w:lvl w:ilvl="0" w:tplc="4FD062B0">
      <w:start w:val="1"/>
      <w:numFmt w:val="bullet"/>
      <w:lvlText w:val="●"/>
      <w:lvlJc w:val="left"/>
      <w:pPr>
        <w:ind w:left="720" w:hanging="360"/>
      </w:pPr>
    </w:lvl>
    <w:lvl w:ilvl="1" w:tplc="689A515A">
      <w:start w:val="1"/>
      <w:numFmt w:val="bullet"/>
      <w:lvlText w:val="○"/>
      <w:lvlJc w:val="left"/>
      <w:pPr>
        <w:ind w:left="1440" w:hanging="360"/>
      </w:pPr>
    </w:lvl>
    <w:lvl w:ilvl="2" w:tplc="4E6A9AA6">
      <w:start w:val="1"/>
      <w:numFmt w:val="bullet"/>
      <w:lvlText w:val="■"/>
      <w:lvlJc w:val="left"/>
      <w:pPr>
        <w:ind w:left="2160" w:hanging="360"/>
      </w:pPr>
    </w:lvl>
    <w:lvl w:ilvl="3" w:tplc="53D220A0">
      <w:start w:val="1"/>
      <w:numFmt w:val="bullet"/>
      <w:lvlText w:val="●"/>
      <w:lvlJc w:val="left"/>
      <w:pPr>
        <w:ind w:left="2880" w:hanging="360"/>
      </w:pPr>
    </w:lvl>
    <w:lvl w:ilvl="4" w:tplc="1DE8BF40">
      <w:start w:val="1"/>
      <w:numFmt w:val="bullet"/>
      <w:lvlText w:val="○"/>
      <w:lvlJc w:val="left"/>
      <w:pPr>
        <w:ind w:left="3600" w:hanging="360"/>
      </w:pPr>
    </w:lvl>
    <w:lvl w:ilvl="5" w:tplc="A8C2CB7A">
      <w:start w:val="1"/>
      <w:numFmt w:val="bullet"/>
      <w:lvlText w:val="■"/>
      <w:lvlJc w:val="left"/>
      <w:pPr>
        <w:ind w:left="4320" w:hanging="360"/>
      </w:pPr>
    </w:lvl>
    <w:lvl w:ilvl="6" w:tplc="AB60186A">
      <w:start w:val="1"/>
      <w:numFmt w:val="bullet"/>
      <w:lvlText w:val="●"/>
      <w:lvlJc w:val="left"/>
      <w:pPr>
        <w:ind w:left="5040" w:hanging="360"/>
      </w:pPr>
    </w:lvl>
    <w:lvl w:ilvl="7" w:tplc="DCE83E9A">
      <w:start w:val="1"/>
      <w:numFmt w:val="bullet"/>
      <w:lvlText w:val="●"/>
      <w:lvlJc w:val="left"/>
      <w:pPr>
        <w:ind w:left="5760" w:hanging="360"/>
      </w:pPr>
    </w:lvl>
    <w:lvl w:ilvl="8" w:tplc="1F94B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B292A"/>
    <w:multiLevelType w:val="hybridMultilevel"/>
    <w:tmpl w:val="BE44B92C"/>
    <w:lvl w:ilvl="0" w:tplc="43CEBCB2">
      <w:start w:val="1"/>
      <w:numFmt w:val="bullet"/>
      <w:lvlText w:val="•"/>
      <w:lvlJc w:val="left"/>
      <w:pPr>
        <w:ind w:left="340" w:hanging="170"/>
      </w:pPr>
      <w:rPr>
        <w:rFonts w:ascii="Calibri" w:eastAsia="Calibri" w:hAnsi="Calibri" w:cs="Calibri"/>
        <w:sz w:val="19"/>
        <w:szCs w:val="19"/>
      </w:rPr>
    </w:lvl>
    <w:lvl w:ilvl="1" w:tplc="6A4A14D0">
      <w:numFmt w:val="decimal"/>
      <w:lvlText w:val=""/>
      <w:lvlJc w:val="left"/>
    </w:lvl>
    <w:lvl w:ilvl="2" w:tplc="D08410AE">
      <w:numFmt w:val="decimal"/>
      <w:lvlText w:val=""/>
      <w:lvlJc w:val="left"/>
    </w:lvl>
    <w:lvl w:ilvl="3" w:tplc="29D06182">
      <w:numFmt w:val="decimal"/>
      <w:lvlText w:val=""/>
      <w:lvlJc w:val="left"/>
    </w:lvl>
    <w:lvl w:ilvl="4" w:tplc="41525494">
      <w:numFmt w:val="decimal"/>
      <w:lvlText w:val=""/>
      <w:lvlJc w:val="left"/>
    </w:lvl>
    <w:lvl w:ilvl="5" w:tplc="46C0A9D0">
      <w:numFmt w:val="decimal"/>
      <w:lvlText w:val=""/>
      <w:lvlJc w:val="left"/>
    </w:lvl>
    <w:lvl w:ilvl="6" w:tplc="06CACBBE">
      <w:numFmt w:val="decimal"/>
      <w:lvlText w:val=""/>
      <w:lvlJc w:val="left"/>
    </w:lvl>
    <w:lvl w:ilvl="7" w:tplc="E102A2B6">
      <w:numFmt w:val="decimal"/>
      <w:lvlText w:val=""/>
      <w:lvlJc w:val="left"/>
    </w:lvl>
    <w:lvl w:ilvl="8" w:tplc="A31AC29C">
      <w:numFmt w:val="decimal"/>
      <w:lvlText w:val=""/>
      <w:lvlJc w:val="left"/>
    </w:lvl>
  </w:abstractNum>
  <w:num w:numId="1" w16cid:durableId="900015657">
    <w:abstractNumId w:val="0"/>
    <w:lvlOverride w:ilvl="0">
      <w:startOverride w:val="1"/>
    </w:lvlOverride>
  </w:num>
  <w:num w:numId="2" w16cid:durableId="1339697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02"/>
    <w:rsid w:val="000412C0"/>
    <w:rsid w:val="000C2002"/>
    <w:rsid w:val="00243714"/>
    <w:rsid w:val="002574C4"/>
    <w:rsid w:val="007A13A9"/>
    <w:rsid w:val="00DE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FE30A"/>
  <w15:docId w15:val="{076715AB-5D3E-BF47-A08B-1FC63EF4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" w:space="0" w:color="2E75B6"/>
      </w:pBdr>
      <w:spacing w:before="80" w:after="15"/>
      <w:outlineLvl w:val="0"/>
    </w:pPr>
    <w:rPr>
      <w:rFonts w:ascii="Calibri" w:eastAsia="Calibri" w:hAnsi="Calibri" w:cs="Calibri"/>
      <w:b/>
      <w:bCs/>
      <w:color w:val="1F3864"/>
      <w:spacing w:val="5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ex-rudd-5438915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Rudd, Paul A</cp:lastModifiedBy>
  <cp:revision>6</cp:revision>
  <dcterms:created xsi:type="dcterms:W3CDTF">2026-02-21T02:00:00Z</dcterms:created>
  <dcterms:modified xsi:type="dcterms:W3CDTF">2026-02-21T02:57:00Z</dcterms:modified>
</cp:coreProperties>
</file>