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5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  <w:gridCol w:w="588"/>
        <w:gridCol w:w="2312"/>
      </w:tblGrid>
      <w:tr w:rsidR="00D90F3C" w:rsidRPr="00D50225" w14:paraId="2B5CCCDB" w14:textId="77777777" w:rsidTr="00B414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D90F3C" w:rsidRPr="00D50225" w:rsidRDefault="00D90F3C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D90F3C" w:rsidRPr="00D50225" w:rsidRDefault="00D90F3C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506D855D" w14:textId="77777777" w:rsidR="00D90F3C" w:rsidRPr="00D50225" w:rsidRDefault="00D90F3C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9B0A0A9" wp14:editId="481057E0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14A22471" w14:textId="77777777" w:rsidR="00D90F3C" w:rsidRPr="00D50225" w:rsidRDefault="00D90F3C" w:rsidP="00B4148F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alex-preciado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CA50B96" w:rsidR="005973C2" w:rsidRPr="004253C7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>5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 xml:space="preserve">predictive models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7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DAC3C2F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Python,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C12C6A">
        <w:rPr>
          <w:rFonts w:ascii="Constantia" w:hAnsi="Constantia" w:cstheme="minorHAnsi"/>
          <w:sz w:val="20"/>
          <w:szCs w:val="21"/>
        </w:rPr>
        <w:t>SQL</w:t>
      </w:r>
      <w:r w:rsidR="00C12C6A">
        <w:rPr>
          <w:rFonts w:ascii="Constantia" w:hAnsi="Constantia" w:cstheme="minorHAnsi"/>
          <w:sz w:val="20"/>
          <w:szCs w:val="21"/>
        </w:rPr>
        <w:t xml:space="preserve">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CD63E1">
        <w:rPr>
          <w:rFonts w:ascii="Constantia" w:hAnsi="Constantia" w:cstheme="minorHAnsi"/>
          <w:sz w:val="20"/>
          <w:szCs w:val="21"/>
        </w:rPr>
        <w:t xml:space="preserve"> 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65DFCC03" w14:textId="483A935D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Databricks.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Version control (Git)</w:t>
      </w:r>
      <w:r w:rsidR="00CD63E1">
        <w:rPr>
          <w:rFonts w:ascii="Constantia" w:hAnsi="Constantia" w:cstheme="minorHAnsi"/>
          <w:sz w:val="20"/>
          <w:szCs w:val="21"/>
        </w:rPr>
        <w:t>, Airflow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5AD96C7" w:rsidR="006556DB" w:rsidRPr="004253C7" w:rsidRDefault="00830819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9B6135">
        <w:rPr>
          <w:rFonts w:ascii="Constantia" w:hAnsi="Constantia" w:cstheme="minorHAnsi"/>
          <w:sz w:val="20"/>
          <w:szCs w:val="21"/>
        </w:rPr>
        <w:t>Impala Data Warehouses</w:t>
      </w:r>
      <w:r w:rsidR="009B6135">
        <w:rPr>
          <w:rFonts w:ascii="Constantia" w:hAnsi="Constantia" w:cstheme="minorHAnsi"/>
          <w:sz w:val="20"/>
          <w:szCs w:val="21"/>
        </w:rPr>
        <w:t xml:space="preserve"> and </w:t>
      </w:r>
      <w:r w:rsidR="00C12C6A">
        <w:rPr>
          <w:rFonts w:ascii="Constantia" w:hAnsi="Constantia" w:cstheme="minorHAnsi"/>
          <w:sz w:val="20"/>
          <w:szCs w:val="21"/>
        </w:rPr>
        <w:t>Experience with</w:t>
      </w:r>
      <w:r w:rsidR="00CD63E1">
        <w:rPr>
          <w:rFonts w:ascii="Constantia" w:hAnsi="Constantia" w:cstheme="minorHAnsi"/>
          <w:sz w:val="20"/>
          <w:szCs w:val="21"/>
        </w:rPr>
        <w:t xml:space="preserve"> 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Postgres, and NoSQL </w:t>
      </w:r>
      <w:r w:rsidR="005973C2">
        <w:rPr>
          <w:rFonts w:ascii="Constantia" w:hAnsi="Constantia" w:cstheme="minorHAnsi"/>
          <w:sz w:val="20"/>
          <w:szCs w:val="21"/>
        </w:rPr>
        <w:t>databases</w:t>
      </w:r>
      <w:r w:rsidR="006556DB"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FD3011" w:rsidRPr="004253C7" w14:paraId="36D24142" w14:textId="77777777" w:rsidTr="00C12C6A">
        <w:tc>
          <w:tcPr>
            <w:tcW w:w="7551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647" w:type="dxa"/>
          </w:tcPr>
          <w:p w14:paraId="7AD775E1" w14:textId="3DFE8E1D" w:rsidR="00FD3011" w:rsidRPr="004253C7" w:rsidRDefault="00FD3011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Jan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22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12C6A">
        <w:tc>
          <w:tcPr>
            <w:tcW w:w="7551" w:type="dxa"/>
          </w:tcPr>
          <w:p w14:paraId="3B1E5905" w14:textId="4BD3A773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7A5980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="007A5980" w:rsidRPr="00B567E4">
              <w:rPr>
                <w:rFonts w:ascii="Constantia" w:hAnsi="Constantia" w:cstheme="minorHAnsi"/>
                <w:i/>
                <w:sz w:val="20"/>
                <w:lang w:val="en-CA"/>
              </w:rPr>
              <w:t>(Toronto, Canada)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00A4B625" w14:textId="33C9F6F2" w:rsidR="005973C2" w:rsidRDefault="005973C2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Building the Data, Machine Learning and Software Engineering functions of the Data Team</w:t>
            </w:r>
          </w:p>
          <w:p w14:paraId="72BCBA74" w14:textId="526B7CEF" w:rsidR="005973C2" w:rsidRDefault="005973C2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pipelines, ETL Design &amp; Implementation</w:t>
            </w:r>
          </w:p>
          <w:p w14:paraId="5187919E" w14:textId="1ACAD792" w:rsidR="007A5980" w:rsidRDefault="00FD3011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Database Maintenance</w:t>
            </w:r>
          </w:p>
          <w:p w14:paraId="649F3EBD" w14:textId="6F3CE012" w:rsidR="005973C2" w:rsidRPr="005973C2" w:rsidRDefault="00C12C6A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Infrastructure </w:t>
            </w:r>
            <w:r w:rsidR="005973C2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&amp; Tooling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 Machine Learning models in Production</w:t>
            </w:r>
          </w:p>
        </w:tc>
      </w:tr>
      <w:tr w:rsidR="007A5980" w:rsidRPr="004253C7" w14:paraId="7B02AB45" w14:textId="77777777" w:rsidTr="00C12C6A">
        <w:tc>
          <w:tcPr>
            <w:tcW w:w="7551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647" w:type="dxa"/>
          </w:tcPr>
          <w:p w14:paraId="772FACBC" w14:textId="77777777" w:rsidR="007A5980" w:rsidRPr="004253C7" w:rsidRDefault="007A5980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FD3011" w:rsidRPr="004253C7" w14:paraId="3B70B16E" w14:textId="77777777" w:rsidTr="00C12C6A">
        <w:tc>
          <w:tcPr>
            <w:tcW w:w="7551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647" w:type="dxa"/>
          </w:tcPr>
          <w:p w14:paraId="37B5259C" w14:textId="3CBAC2AF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Dec 2021</w:t>
            </w:r>
          </w:p>
        </w:tc>
      </w:tr>
      <w:tr w:rsidR="00FD3011" w:rsidRPr="00B567E4" w14:paraId="0AE4AD2E" w14:textId="77777777" w:rsidTr="00C12C6A">
        <w:tc>
          <w:tcPr>
            <w:tcW w:w="7551" w:type="dxa"/>
          </w:tcPr>
          <w:p w14:paraId="6D53A80B" w14:textId="2FC2F989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(Toronto, Canada)</w:t>
            </w:r>
          </w:p>
        </w:tc>
        <w:tc>
          <w:tcPr>
            <w:tcW w:w="2647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1D47FCD" w14:textId="7349AC24" w:rsidR="00FD3011" w:rsidRDefault="00FD3011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Support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demand Forecasting efforts during COVID-19 crisis.</w:t>
            </w:r>
          </w:p>
          <w:p w14:paraId="6C5DE493" w14:textId="0461B2D1" w:rsidR="00B7581C" w:rsidRDefault="00B7581C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 the development of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Customer360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</w:t>
            </w: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03796E4" w14:textId="6C3C2CD7" w:rsidR="00FD3011" w:rsidRPr="007A5980" w:rsidRDefault="00FD3011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</w:t>
            </w:r>
            <w:r w:rsidR="00316E2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predictive models to guide new product development.</w:t>
            </w:r>
          </w:p>
          <w:p w14:paraId="65722014" w14:textId="089D89B9" w:rsidR="00FD3011" w:rsidRPr="00B7581C" w:rsidRDefault="00FD3011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</w:t>
            </w:r>
            <w:r w:rsidR="00316E2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Machine Learning models to </w:t>
            </w:r>
            <w:r w:rsidR="00B7581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track market share of meal kit companies</w:t>
            </w:r>
          </w:p>
        </w:tc>
      </w:tr>
      <w:tr w:rsidR="00FD3011" w:rsidRPr="004253C7" w14:paraId="223CF2B1" w14:textId="77777777" w:rsidTr="00C12C6A">
        <w:tc>
          <w:tcPr>
            <w:tcW w:w="7551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647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12C6A">
        <w:tc>
          <w:tcPr>
            <w:tcW w:w="7551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647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12C6A">
        <w:tc>
          <w:tcPr>
            <w:tcW w:w="7551" w:type="dxa"/>
          </w:tcPr>
          <w:p w14:paraId="276927B6" w14:textId="77777777" w:rsidR="00C12C6A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  <w:p w14:paraId="56AB7648" w14:textId="08252D4A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647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7777777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Captured 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collaboration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of 200+ members.</w:t>
            </w:r>
          </w:p>
          <w:p w14:paraId="4B5A0A17" w14:textId="23129493" w:rsidR="00C12C6A" w:rsidRPr="00B567E4" w:rsidRDefault="009B6135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1ADA83AD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 and code parametrized models used by the EHT to estimate black hole parameters.</w:t>
            </w:r>
          </w:p>
          <w:p w14:paraId="59A2B3DD" w14:textId="4B57518F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 and test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7C02219D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for the first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332EFF44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The 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first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8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9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0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1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67BEA0DD" w:rsidR="009D050F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</w:t>
        </w:r>
        <w:r w:rsidRPr="00255B67">
          <w:rPr>
            <w:rStyle w:val="Hyperlink"/>
            <w:rFonts w:ascii="Constantia" w:hAnsi="Constantia"/>
            <w:sz w:val="20"/>
            <w:szCs w:val="20"/>
          </w:rPr>
          <w:t>n</w:t>
        </w:r>
        <w:r w:rsidRPr="00255B67">
          <w:rPr>
            <w:rStyle w:val="Hyperlink"/>
            <w:rFonts w:ascii="Constantia" w:hAnsi="Constantia"/>
            <w:sz w:val="20"/>
            <w:szCs w:val="20"/>
          </w:rPr>
          <w:t>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28B4EED7" w14:textId="5C4D0D63" w:rsidR="00F8733E" w:rsidRDefault="00F8733E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4" w:history="1">
        <w:r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910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21</w:t>
      </w:r>
      <w:r w:rsidRPr="00255B67">
        <w:rPr>
          <w:rFonts w:ascii="Constantia" w:hAnsi="Constantia"/>
          <w:sz w:val="20"/>
          <w:szCs w:val="20"/>
        </w:rPr>
        <w:t>) L</w:t>
      </w:r>
      <w:r>
        <w:rPr>
          <w:rFonts w:ascii="Constantia" w:hAnsi="Constantia"/>
          <w:sz w:val="20"/>
          <w:szCs w:val="20"/>
        </w:rPr>
        <w:t>12</w:t>
      </w:r>
      <w:r>
        <w:rPr>
          <w:rFonts w:ascii="Constantia" w:hAnsi="Constantia"/>
          <w:sz w:val="20"/>
          <w:szCs w:val="20"/>
        </w:rPr>
        <w:t>.</w:t>
      </w:r>
    </w:p>
    <w:p w14:paraId="4FCB095D" w14:textId="398BA610" w:rsidR="005973C2" w:rsidRPr="00F8733E" w:rsidRDefault="00F8733E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VII. Magnetic Field Structure near The Event Horizon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910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21</w:t>
      </w:r>
      <w:r w:rsidRPr="00255B67">
        <w:rPr>
          <w:rFonts w:ascii="Constantia" w:hAnsi="Constantia"/>
          <w:sz w:val="20"/>
          <w:szCs w:val="20"/>
        </w:rPr>
        <w:t>) L</w:t>
      </w:r>
      <w:r>
        <w:rPr>
          <w:rFonts w:ascii="Constantia" w:hAnsi="Constantia"/>
          <w:sz w:val="20"/>
          <w:szCs w:val="20"/>
        </w:rPr>
        <w:t>13</w:t>
      </w:r>
      <w:r>
        <w:rPr>
          <w:rFonts w:ascii="Constantia" w:hAnsi="Constantia"/>
          <w:sz w:val="20"/>
          <w:szCs w:val="20"/>
        </w:rPr>
        <w:t>.</w:t>
      </w:r>
    </w:p>
    <w:p w14:paraId="0CC23E60" w14:textId="7C3467EC" w:rsidR="009D050F" w:rsidRPr="003C3073" w:rsidRDefault="00B7581C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6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D90F3C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D90F3C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39F49CFB" w14:textId="589C95F7" w:rsidR="003C3073" w:rsidRDefault="00D90F3C" w:rsidP="003C3073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7" w:history="1">
        <w:r w:rsidR="003C3073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>,</w:t>
      </w:r>
      <w:r w:rsidR="003C3073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897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</w:t>
      </w:r>
      <w:r w:rsidR="00D23FE0">
        <w:rPr>
          <w:rFonts w:ascii="Constantia" w:hAnsi="Constantia"/>
          <w:sz w:val="20"/>
          <w:szCs w:val="20"/>
        </w:rPr>
        <w:t>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139.</w:t>
      </w:r>
    </w:p>
    <w:p w14:paraId="62057E12" w14:textId="58A5E03A" w:rsidR="003C3073" w:rsidRDefault="00B7581C" w:rsidP="003C3073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8" w:history="1">
        <w:r w:rsidR="003C3073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D90F3C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D23FE0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D23FE0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D23FE0" w:rsidRPr="00255B67">
        <w:rPr>
          <w:rFonts w:ascii="Constantia" w:hAnsi="Constantia"/>
          <w:sz w:val="20"/>
          <w:szCs w:val="20"/>
        </w:rPr>
        <w:t xml:space="preserve">, </w:t>
      </w:r>
      <w:r w:rsidR="00D23FE0">
        <w:rPr>
          <w:rFonts w:ascii="Constantia" w:hAnsi="Constantia"/>
          <w:sz w:val="20"/>
          <w:szCs w:val="20"/>
        </w:rPr>
        <w:t>89</w:t>
      </w:r>
      <w:r w:rsidR="00D23FE0">
        <w:rPr>
          <w:rFonts w:ascii="Constantia" w:hAnsi="Constantia"/>
          <w:sz w:val="20"/>
          <w:szCs w:val="20"/>
        </w:rPr>
        <w:t>2</w:t>
      </w:r>
      <w:r w:rsidR="00D23FE0" w:rsidRPr="00255B67">
        <w:rPr>
          <w:rFonts w:ascii="Constantia" w:hAnsi="Constantia"/>
          <w:sz w:val="20"/>
          <w:szCs w:val="20"/>
        </w:rPr>
        <w:t xml:space="preserve"> (20</w:t>
      </w:r>
      <w:r w:rsidR="00D23FE0">
        <w:rPr>
          <w:rFonts w:ascii="Constantia" w:hAnsi="Constantia"/>
          <w:sz w:val="20"/>
          <w:szCs w:val="20"/>
        </w:rPr>
        <w:t>2</w:t>
      </w:r>
      <w:r w:rsidR="00D23FE0">
        <w:rPr>
          <w:rFonts w:ascii="Constantia" w:hAnsi="Constantia"/>
          <w:sz w:val="20"/>
          <w:szCs w:val="20"/>
        </w:rPr>
        <w:t>0</w:t>
      </w:r>
      <w:r w:rsidR="00D23FE0" w:rsidRPr="00255B67">
        <w:rPr>
          <w:rFonts w:ascii="Constantia" w:hAnsi="Constantia"/>
          <w:sz w:val="20"/>
          <w:szCs w:val="20"/>
        </w:rPr>
        <w:t xml:space="preserve">) </w:t>
      </w:r>
      <w:r w:rsidR="00D23FE0">
        <w:rPr>
          <w:rFonts w:ascii="Constantia" w:hAnsi="Constantia"/>
          <w:sz w:val="20"/>
          <w:szCs w:val="20"/>
        </w:rPr>
        <w:t>13</w:t>
      </w:r>
      <w:r w:rsidR="00D23FE0">
        <w:rPr>
          <w:rFonts w:ascii="Constantia" w:hAnsi="Constantia"/>
          <w:sz w:val="20"/>
          <w:szCs w:val="20"/>
        </w:rPr>
        <w:t>2</w:t>
      </w:r>
      <w:r w:rsidR="00D23FE0">
        <w:rPr>
          <w:rFonts w:ascii="Constantia" w:hAnsi="Constantia"/>
          <w:sz w:val="20"/>
          <w:szCs w:val="20"/>
        </w:rPr>
        <w:t>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CE57C8" w14:textId="77650721" w:rsidR="009D050F" w:rsidRPr="00B07CEE" w:rsidRDefault="00B7581C" w:rsidP="00B07CEE">
      <w:pPr>
        <w:pStyle w:val="ListParagraph"/>
        <w:numPr>
          <w:ilvl w:val="0"/>
          <w:numId w:val="7"/>
        </w:numPr>
      </w:pPr>
      <w:hyperlink r:id="rId19" w:history="1">
        <w:r w:rsidR="00B07CEE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B07CEE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B07CEE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B07CEE" w:rsidRPr="00B07CEE">
        <w:rPr>
          <w:rFonts w:ascii="Constantia" w:hAnsi="Constantia"/>
          <w:color w:val="000000"/>
          <w:sz w:val="20"/>
          <w:szCs w:val="20"/>
        </w:rPr>
        <w:t>,</w:t>
      </w:r>
      <w:r w:rsidR="00B07CEE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B07CEE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B07CEE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002739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B7581C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B7581C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A056C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B6135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6988"/>
    <w:rsid w:val="00C40352"/>
    <w:rsid w:val="00C6598F"/>
    <w:rsid w:val="00C93056"/>
    <w:rsid w:val="00CD63E1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A7E77"/>
    <w:rsid w:val="00EC56DB"/>
    <w:rsid w:val="00F161AA"/>
    <w:rsid w:val="00F24D59"/>
    <w:rsid w:val="00F472EB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3847/2041-8213/ab0ec7" TargetMode="External"/><Relationship Id="rId13" Type="http://schemas.openxmlformats.org/officeDocument/2006/relationships/hyperlink" Target="https://iopscience.iop.org/article/10.3847/2041-8213/ab1141" TargetMode="External"/><Relationship Id="rId18" Type="http://schemas.openxmlformats.org/officeDocument/2006/relationships/hyperlink" Target="https://iopscience.iop.org/article/10.3847/1538-4357/ab744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p.scitation.org/doi/abs/10.1063/1.3647539" TargetMode="External"/><Relationship Id="rId7" Type="http://schemas.openxmlformats.org/officeDocument/2006/relationships/hyperlink" Target="https://www.nytimes.com/2019/04/10/science/black-hole-picture.html" TargetMode="External"/><Relationship Id="rId12" Type="http://schemas.openxmlformats.org/officeDocument/2006/relationships/hyperlink" Target="https://iopscience.iop.org/article/10.3847/2041-8213/ab0f43" TargetMode="External"/><Relationship Id="rId17" Type="http://schemas.openxmlformats.org/officeDocument/2006/relationships/hyperlink" Target="https://iopscience.iop.org/article/10.3847/1538-4357/ab91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904.04923.pdf" TargetMode="External"/><Relationship Id="rId20" Type="http://schemas.openxmlformats.org/officeDocument/2006/relationships/hyperlink" Target="https://journals.aps.org/prd/abstract/10.1103/PhysRevD.86.0635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iopscience.iop.org/article/10.3847/2041-8213/ab0e85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be4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opscience.iop.org/article/10.3847/2041-8213/ab0c57" TargetMode="External"/><Relationship Id="rId19" Type="http://schemas.openxmlformats.org/officeDocument/2006/relationships/hyperlink" Target="https://arxiv.org/abs/1902.05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b0c96" TargetMode="External"/><Relationship Id="rId14" Type="http://schemas.openxmlformats.org/officeDocument/2006/relationships/hyperlink" Target="https://iopscience.iop.org/article/10.3847/2041-8213/abe71d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Alex Preciado</cp:lastModifiedBy>
  <cp:revision>3</cp:revision>
  <cp:lastPrinted>2022-04-27T05:58:00Z</cp:lastPrinted>
  <dcterms:created xsi:type="dcterms:W3CDTF">2022-04-27T05:58:00Z</dcterms:created>
  <dcterms:modified xsi:type="dcterms:W3CDTF">2022-04-27T06:21:00Z</dcterms:modified>
</cp:coreProperties>
</file>