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2446B6B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6B08D3">
        <w:rPr>
          <w:rFonts w:ascii="Constantia" w:hAnsi="Constantia" w:cstheme="minorHAnsi"/>
          <w:sz w:val="20"/>
          <w:szCs w:val="21"/>
        </w:rPr>
        <w:t>7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>
        <w:rPr>
          <w:rFonts w:ascii="Constantia" w:hAnsi="Constantia" w:cstheme="minorHAnsi"/>
          <w:sz w:val="20"/>
          <w:szCs w:val="21"/>
        </w:rPr>
        <w:t>global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6B08D3">
        <w:rPr>
          <w:rFonts w:ascii="Constantia" w:hAnsi="Constantia" w:cstheme="minorHAnsi"/>
          <w:sz w:val="20"/>
          <w:szCs w:val="21"/>
        </w:rPr>
        <w:t xml:space="preserve">, and current </w:t>
      </w:r>
      <w:r w:rsidR="00063C25">
        <w:rPr>
          <w:rFonts w:ascii="Constantia" w:hAnsi="Constantia" w:cstheme="minorHAnsi"/>
          <w:sz w:val="20"/>
          <w:szCs w:val="21"/>
        </w:rPr>
        <w:t xml:space="preserve">leader of the Core </w:t>
      </w:r>
      <w:r w:rsidR="00E121A5">
        <w:rPr>
          <w:rFonts w:ascii="Constantia" w:hAnsi="Constantia" w:cstheme="minorHAnsi"/>
          <w:sz w:val="20"/>
          <w:szCs w:val="21"/>
        </w:rPr>
        <w:t xml:space="preserve">&amp; </w:t>
      </w:r>
      <w:r w:rsidR="00063C25">
        <w:rPr>
          <w:rFonts w:ascii="Constantia" w:hAnsi="Constantia" w:cstheme="minorHAnsi"/>
          <w:sz w:val="20"/>
          <w:szCs w:val="21"/>
        </w:rPr>
        <w:t xml:space="preserve">High-Performance Computing squads developing </w:t>
      </w:r>
      <w:hyperlink r:id="rId7" w:history="1"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FC0FF17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683FE5">
        <w:rPr>
          <w:rFonts w:ascii="Constantia" w:hAnsi="Constantia" w:cstheme="minorHAnsi"/>
          <w:sz w:val="20"/>
          <w:szCs w:val="21"/>
        </w:rPr>
        <w:t>. Previous experience with Fortran</w:t>
      </w:r>
    </w:p>
    <w:p w14:paraId="65DFCC03" w14:textId="48738795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 xml:space="preserve">Manager, </w:t>
            </w:r>
            <w:r>
              <w:rPr>
                <w:rFonts w:ascii="Constantia" w:hAnsi="Constantia" w:cstheme="minorHAnsi"/>
                <w:b/>
                <w:sz w:val="21"/>
                <w:lang w:val="en-CA"/>
              </w:rPr>
              <w:t>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4E858648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squads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PennyLane, our cutting-edge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3C886DB" w14:textId="2BCDEF4E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processes: iteration planning, technical roadmap definition, code discussions, bug tracking, and successful product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delivery.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3E7D6CD5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functions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29C8001E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for demand planning, production scheduling and inventory management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176B5923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146E7C70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3rd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global SLT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0C47628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2F47828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18931BCB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analyz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25D57E62" w14:textId="77777777" w:rsidR="00C12C6A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  <w:p w14:paraId="59A2B3DD" w14:textId="1B34F29E" w:rsidR="00FA609B" w:rsidRPr="00FA609B" w:rsidRDefault="00FA609B" w:rsidP="00FA609B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Successfully 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contributed to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global team of researchers.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3294F566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8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3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</w:t>
        </w:r>
        <w:r w:rsidR="00483EAA">
          <w:rPr>
            <w:rStyle w:val="Hyperlink"/>
            <w:rFonts w:ascii="Constantia" w:hAnsi="Constantia"/>
            <w:sz w:val="20"/>
            <w:szCs w:val="20"/>
          </w:rPr>
          <w:t>g</w:t>
        </w:r>
        <w:r w:rsidR="00483EAA">
          <w:rPr>
            <w:rStyle w:val="Hyperlink"/>
            <w:rFonts w:ascii="Constantia" w:hAnsi="Constantia"/>
            <w:sz w:val="20"/>
            <w:szCs w:val="20"/>
          </w:rPr>
          <w:t>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28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 xml:space="preserve">X. 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D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etection of Near-horizon Circ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u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lar Polarization</w:t>
        </w:r>
      </w:hyperlink>
      <w:r w:rsidRPr="006D6E8A">
        <w:rPr>
          <w:rFonts w:ascii="Constantia" w:hAnsi="Constantia"/>
          <w:i/>
          <w:sz w:val="20"/>
          <w:szCs w:val="20"/>
        </w:rPr>
        <w:t xml:space="preserve">, </w:t>
      </w:r>
      <w:proofErr w:type="spellStart"/>
      <w:r w:rsidRPr="006D6E8A">
        <w:rPr>
          <w:rFonts w:ascii="Constantia" w:hAnsi="Constantia"/>
          <w:i/>
          <w:sz w:val="20"/>
          <w:szCs w:val="20"/>
        </w:rPr>
        <w:t>ApJ</w:t>
      </w:r>
      <w:proofErr w:type="spellEnd"/>
      <w:r w:rsidRPr="006D6E8A">
        <w:rPr>
          <w:rFonts w:ascii="Constantia" w:hAnsi="Constantia"/>
          <w:i/>
          <w:sz w:val="20"/>
          <w:szCs w:val="20"/>
        </w:rPr>
        <w:t xml:space="preserve">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9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</w:t>
        </w:r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0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16B1F"/>
    <w:rsid w:val="00524460"/>
    <w:rsid w:val="00530F08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D6E8A"/>
    <w:rsid w:val="006F15AE"/>
    <w:rsid w:val="00710BBD"/>
    <w:rsid w:val="00724DFB"/>
    <w:rsid w:val="00740428"/>
    <w:rsid w:val="00793336"/>
    <w:rsid w:val="007A23DE"/>
    <w:rsid w:val="007A598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2.05130" TargetMode="External"/><Relationship Id="rId13" Type="http://schemas.openxmlformats.org/officeDocument/2006/relationships/hyperlink" Target="https://arxiv.org/pdf/1904.04923.pdf" TargetMode="External"/><Relationship Id="rId18" Type="http://schemas.openxmlformats.org/officeDocument/2006/relationships/hyperlink" Target="https://iopscience.iop.org/article/10.3847/2041-8213/ac6672" TargetMode="External"/><Relationship Id="rId26" Type="http://schemas.openxmlformats.org/officeDocument/2006/relationships/hyperlink" Target="https://iopscience.iop.org/article/10.3847/2041-8213/abe71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96" TargetMode="External"/><Relationship Id="rId7" Type="http://schemas.openxmlformats.org/officeDocument/2006/relationships/hyperlink" Target="https://pennylane.ai/" TargetMode="External"/><Relationship Id="rId12" Type="http://schemas.openxmlformats.org/officeDocument/2006/relationships/hyperlink" Target="https://iopscience.iop.org/article/10.3847/1538-4357/ab744c" TargetMode="External"/><Relationship Id="rId17" Type="http://schemas.openxmlformats.org/officeDocument/2006/relationships/hyperlink" Target="https://iopscience.iop.org/article/10.3847/2041-8213/ac6736" TargetMode="External"/><Relationship Id="rId25" Type="http://schemas.openxmlformats.org/officeDocument/2006/relationships/hyperlink" Target="https://iopscience.iop.org/article/10.3847/2041-8213/ab11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429" TargetMode="External"/><Relationship Id="rId20" Type="http://schemas.openxmlformats.org/officeDocument/2006/relationships/hyperlink" Target="https://iopscience.iop.org/article/10.3847/2041-8213/ab0ec7" TargetMode="External"/><Relationship Id="rId29" Type="http://schemas.openxmlformats.org/officeDocument/2006/relationships/hyperlink" Target="https://inspirehep.net/literature?q=a%20J.A.Preciado.1&amp;ui-citation-summary=true&amp;sort=mostrec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91a4" TargetMode="External"/><Relationship Id="rId24" Type="http://schemas.openxmlformats.org/officeDocument/2006/relationships/hyperlink" Target="https://iopscience.iop.org/article/10.3847/2041-8213/ab0f43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675" TargetMode="External"/><Relationship Id="rId23" Type="http://schemas.openxmlformats.org/officeDocument/2006/relationships/hyperlink" Target="https://iopscience.iop.org/article/10.3847/2041-8213/ab0e85" TargetMode="External"/><Relationship Id="rId28" Type="http://schemas.openxmlformats.org/officeDocument/2006/relationships/hyperlink" Target="https://iopscience.iop.org/article/10.3847/2041-8213/acff6f" TargetMode="External"/><Relationship Id="rId10" Type="http://schemas.openxmlformats.org/officeDocument/2006/relationships/hyperlink" Target="https://aip.scitation.org/doi/abs/10.1063/1.3647539" TargetMode="External"/><Relationship Id="rId19" Type="http://schemas.openxmlformats.org/officeDocument/2006/relationships/hyperlink" Target="https://iopscience.iop.org/article/10.3847/2041-8213/ac675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aps.org/prd/abstract/10.1103/PhysRevD.86.063502" TargetMode="External"/><Relationship Id="rId14" Type="http://schemas.openxmlformats.org/officeDocument/2006/relationships/hyperlink" Target="https://iopscience.iop.org/article/10.3847/2041-8213/ac6674" TargetMode="External"/><Relationship Id="rId22" Type="http://schemas.openxmlformats.org/officeDocument/2006/relationships/hyperlink" Target="https://iopscience.iop.org/article/10.3847/2041-8213/ab0c57" TargetMode="External"/><Relationship Id="rId27" Type="http://schemas.openxmlformats.org/officeDocument/2006/relationships/hyperlink" Target="https://iopscience.iop.org/article/10.3847/2041-8213/abe4de" TargetMode="External"/><Relationship Id="rId30" Type="http://schemas.openxmlformats.org/officeDocument/2006/relationships/hyperlink" Target="https://scholar.google.ca/citations?user=ZIUyto0AAAAJ&amp;hl=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2023-02-07T21:48:00Z</cp:lastPrinted>
  <dcterms:created xsi:type="dcterms:W3CDTF">2023-12-10T11:35:00Z</dcterms:created>
  <dcterms:modified xsi:type="dcterms:W3CDTF">2023-12-10T11:41:00Z</dcterms:modified>
</cp:coreProperties>
</file>