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facc4025a47eee31d43aa2c95d768403a9caa4"/>
    <w:p>
      <w:pPr>
        <w:pStyle w:val="Heading3"/>
      </w:pPr>
      <w:r>
        <w:t xml:space="preserve">1.4 Цель и задачи исследования</w:t>
      </w:r>
    </w:p>
    <w:p>
      <w:pPr>
        <w:pStyle w:val="FirstParagraph"/>
      </w:pPr>
      <w:r>
        <w:t xml:space="preserve">Настоящее исследование преследует двойную цель: методологическую</w:t>
      </w:r>
      <w:r>
        <w:br/>
      </w:r>
      <w:r>
        <w:t xml:space="preserve">и содержательную.</w:t>
      </w:r>
      <w:r>
        <w:t xml:space="preserve"> </w:t>
      </w:r>
      <w:r>
        <w:rPr>
          <w:b/>
          <w:bCs/>
        </w:rPr>
        <w:t xml:space="preserve">С методологической точки</w:t>
      </w:r>
      <w:r>
        <w:t xml:space="preserve"> </w:t>
      </w:r>
      <w:r>
        <w:t xml:space="preserve">зрения цель состоит</w:t>
      </w:r>
      <w:r>
        <w:br/>
      </w:r>
      <w:r>
        <w:t xml:space="preserve">в разработке и апробации воспроизводимого аналитического конвейера</w:t>
      </w:r>
      <w:r>
        <w:br/>
      </w:r>
      <w:r>
        <w:t xml:space="preserve">ретроспективного анализа пандемии COVID-19 на основе данных</w:t>
      </w:r>
      <w:r>
        <w:br/>
      </w:r>
      <w:r>
        <w:t xml:space="preserve">рутинного санитарно-эпидемиологического надзора, применимого к</w:t>
      </w:r>
      <w:r>
        <w:br/>
      </w:r>
      <w:r>
        <w:t xml:space="preserve">малым и средним городам без специализированных регистров и</w:t>
      </w:r>
      <w:r>
        <w:br/>
      </w:r>
      <w:r>
        <w:t xml:space="preserve">геномного мониторинга.</w:t>
      </w:r>
      <w:r>
        <w:t xml:space="preserve"> </w:t>
      </w:r>
      <w:r>
        <w:rPr>
          <w:b/>
          <w:bCs/>
        </w:rPr>
        <w:t xml:space="preserve">С содержательной</w:t>
      </w:r>
      <w:r>
        <w:t xml:space="preserve"> </w:t>
      </w:r>
      <w:r>
        <w:t xml:space="preserve">— в проверке гипотезы о</w:t>
      </w:r>
      <w:r>
        <w:br/>
      </w:r>
      <w:r>
        <w:t xml:space="preserve">том, что порядок дробной производной α_k является функционально</w:t>
      </w:r>
      <w:r>
        <w:br/>
      </w:r>
      <w:r>
        <w:t xml:space="preserve">информативным параметром, отражающим не артефакт математической</w:t>
      </w:r>
      <w:r>
        <w:br/>
      </w:r>
      <w:r>
        <w:t xml:space="preserve">параметризации, а реальное нарастание популяционного иммунного</w:t>
      </w:r>
      <w:r>
        <w:br/>
      </w:r>
      <w:r>
        <w:t xml:space="preserve">фона в ходе последовательной смены волн пандемии.</w:t>
      </w:r>
    </w:p>
    <w:p>
      <w:pPr>
        <w:pStyle w:val="BodyText"/>
      </w:pPr>
      <w:r>
        <w:t xml:space="preserve">Для достижения поставленной цели решались следующие задачи.</w:t>
      </w:r>
    </w:p>
    <w:p>
      <w:pPr>
        <w:pStyle w:val="BodyText"/>
      </w:pPr>
      <w:r>
        <w:rPr>
          <w:b/>
          <w:bCs/>
        </w:rPr>
        <w:t xml:space="preserve">Задача 1. Формирование непрерывного ежедневного ряда заболеваемости.</w:t>
      </w:r>
      <w:r>
        <w:br/>
      </w:r>
      <w:r>
        <w:t xml:space="preserve">Исходные данные государственного надзора (формы ВП и оперативные</w:t>
      </w:r>
      <w:r>
        <w:br/>
      </w:r>
      <w:r>
        <w:t xml:space="preserve">сводки COVID-19 за 2020–2025 гг., г. Псков)</w:t>
      </w:r>
      <w:r>
        <w:t xml:space="preserve"> </w:t>
      </w:r>
      <w:r>
        <w:rPr>
          <w:b/>
          <w:bCs/>
        </w:rPr>
        <w:t xml:space="preserve">приведены к единому</w:t>
      </w:r>
      <w:r>
        <w:br/>
      </w:r>
      <w:r>
        <w:rPr>
          <w:b/>
          <w:bCs/>
        </w:rPr>
        <w:t xml:space="preserve">формату, прошли унификацию структуры и машинную импутацию</w:t>
      </w:r>
      <w:r>
        <w:br/>
      </w:r>
      <w:r>
        <w:rPr>
          <w:b/>
          <w:bCs/>
        </w:rPr>
        <w:t xml:space="preserve">пропусков</w:t>
      </w:r>
      <w:r>
        <w:t xml:space="preserve"> </w:t>
      </w:r>
      <w:r>
        <w:t xml:space="preserve">методом натуральных кубических сплайнов с ограничением</w:t>
      </w:r>
      <w:r>
        <w:br/>
      </w:r>
      <w:r>
        <w:t xml:space="preserve">монотонности накопленного числа случаев. Качество восстановленного</w:t>
      </w:r>
      <w:r>
        <w:br/>
      </w:r>
      <w:r>
        <w:t xml:space="preserve">ряда оценивалось по величине систематической ошибки на контрольных</w:t>
      </w:r>
      <w:r>
        <w:br/>
      </w:r>
      <w:r>
        <w:t xml:space="preserve">точках с известными значениями.</w:t>
      </w:r>
    </w:p>
    <w:p>
      <w:pPr>
        <w:pStyle w:val="BodyText"/>
      </w:pPr>
      <w:r>
        <w:rPr>
          <w:b/>
          <w:bCs/>
        </w:rPr>
        <w:t xml:space="preserve">Задача 2. Автоматическая идентификация волн заболеваемости.</w:t>
      </w:r>
      <w:r>
        <w:br/>
      </w:r>
      <w:r>
        <w:t xml:space="preserve">Разработан</w:t>
      </w:r>
      <w:r>
        <w:t xml:space="preserve"> </w:t>
      </w:r>
      <w:r>
        <w:rPr>
          <w:b/>
          <w:bCs/>
        </w:rPr>
        <w:t xml:space="preserve">алгоритм разметки волн на основе знака сглаженной первой</w:t>
      </w:r>
      <w:r>
        <w:br/>
      </w:r>
      <w:r>
        <w:rPr>
          <w:b/>
          <w:bCs/>
        </w:rPr>
        <w:t xml:space="preserve">производной</w:t>
      </w:r>
      <w:r>
        <w:t xml:space="preserve"> </w:t>
      </w:r>
      <w:r>
        <w:t xml:space="preserve">ряда заболеваемости (гауссово ядро, σ = 15 дней)</w:t>
      </w:r>
      <w:r>
        <w:br/>
      </w:r>
      <w:r>
        <w:t xml:space="preserve">с автоматическим присвоением номеров периодам непрерывного роста.</w:t>
      </w:r>
      <w:r>
        <w:br/>
      </w:r>
      <w:r>
        <w:t xml:space="preserve">Для каждой волны рассчитаны характеристики: дата и величина пика,</w:t>
      </w:r>
      <w:r>
        <w:br/>
      </w:r>
      <w:r>
        <w:t xml:space="preserve">продолжительность, площадь под кривой (AUC), ширина на полувысоте</w:t>
      </w:r>
      <w:r>
        <w:br/>
      </w:r>
      <w:r>
        <w:t xml:space="preserve">(FWHM) и индекс асимметрии.</w:t>
      </w:r>
    </w:p>
    <w:p>
      <w:pPr>
        <w:pStyle w:val="BodyText"/>
      </w:pPr>
      <w:r>
        <w:rPr>
          <w:b/>
          <w:bCs/>
        </w:rPr>
        <w:t xml:space="preserve">Задача 3. Сопоставление волн с доминирующими вариантами вируса.</w:t>
      </w:r>
      <w:r>
        <w:br/>
      </w:r>
      <w:r>
        <w:t xml:space="preserve">Составлен и верифицирован по литературным данным [4, 5]</w:t>
      </w:r>
      <w:r>
        <w:t xml:space="preserve"> </w:t>
      </w:r>
      <w:r>
        <w:rPr>
          <w:b/>
          <w:bCs/>
        </w:rPr>
        <w:t xml:space="preserve">календарь</w:t>
      </w:r>
      <w:r>
        <w:br/>
      </w:r>
      <w:r>
        <w:rPr>
          <w:b/>
          <w:bCs/>
        </w:rPr>
        <w:t xml:space="preserve">доминирования вариантов SARS-CoV-2</w:t>
      </w:r>
      <w:r>
        <w:t xml:space="preserve"> </w:t>
      </w:r>
      <w:r>
        <w:t xml:space="preserve">применительно к периоду</w:t>
      </w:r>
      <w:r>
        <w:br/>
      </w:r>
      <w:r>
        <w:t xml:space="preserve">2020–2025 гг. на территории России. Каждому дню наблюдения</w:t>
      </w:r>
      <w:r>
        <w:br/>
      </w:r>
      <w:r>
        <w:t xml:space="preserve">присвоены биологические параметры соответствующего варианта</w:t>
      </w:r>
      <w:r>
        <w:br/>
      </w:r>
      <w:r>
        <w:t xml:space="preserve">(σ, γ, μ, β, R₀), сформировавшие информированный prior для</w:t>
      </w:r>
      <w:r>
        <w:br/>
      </w:r>
      <w:r>
        <w:t xml:space="preserve">последующей калибровки моделей.</w:t>
      </w:r>
    </w:p>
    <w:p>
      <w:pPr>
        <w:pStyle w:val="BodyText"/>
      </w:pPr>
      <w:r>
        <w:rPr>
          <w:b/>
          <w:bCs/>
        </w:rPr>
        <w:t xml:space="preserve">Задача 4. Калибровка стандартной SEIRD-модели.</w:t>
      </w:r>
      <w:r>
        <w:br/>
      </w:r>
      <w:r>
        <w:t xml:space="preserve">Для каждой из десяти идентифицированных волн проведена численная</w:t>
      </w:r>
      <w:r>
        <w:br/>
      </w:r>
      <w:r>
        <w:t xml:space="preserve">калибровка целочисленной SEIRD-модели (решатель AutoVern7/Rodas5P пакета DifferencialEquationns.jl),</w:t>
      </w:r>
      <w:r>
        <w:br/>
      </w:r>
      <w:r>
        <w:t xml:space="preserve">свободные параметры: β, μ, E₀, I₀, N_eff). Разработана</w:t>
      </w:r>
      <w:r>
        <w:br/>
      </w:r>
      <w:r>
        <w:t xml:space="preserve">двухэтапная стратегия оптимизации (сеточный поиск → NelderMead</w:t>
      </w:r>
      <w:r>
        <w:br/>
      </w:r>
      <w:r>
        <w:t xml:space="preserve">→ L-BFGS) с аналитическим предобусловливанием стартовой точки</w:t>
      </w:r>
      <w:r>
        <w:br/>
      </w:r>
      <w:r>
        <w:t xml:space="preserve">по скорости роста начальной фазы волны. Функция потерь —</w:t>
      </w:r>
      <w:r>
        <w:br/>
      </w:r>
      <w:r>
        <w:t xml:space="preserve">логарифмический MSE, обеспечивающий равный вклад всех фаз</w:t>
      </w:r>
      <w:r>
        <w:br/>
      </w:r>
      <w:r>
        <w:t xml:space="preserve">волны в критерий оптимальности.</w:t>
      </w:r>
    </w:p>
    <w:p>
      <w:pPr>
        <w:pStyle w:val="BodyText"/>
      </w:pPr>
      <w:r>
        <w:rPr>
          <w:b/>
          <w:bCs/>
        </w:rPr>
        <w:t xml:space="preserve">Задача 5. Калибровка дробной SEIRD-модели.</w:t>
      </w:r>
      <w:r>
        <w:br/>
      </w:r>
      <w:r>
        <w:t xml:space="preserve">Разработана и откалибрована дробная SEIRD-модель с производной</w:t>
      </w:r>
      <w:r>
        <w:br/>
      </w:r>
      <w:r>
        <w:t xml:space="preserve">Капуто порядка α</w:t>
      </w:r>
      <w:r>
        <w:rPr>
          <w:i/>
          <w:iCs/>
        </w:rPr>
        <w:t xml:space="preserve">k ∈ (0.5, 1.0] и дискретизацией по схеме</w:t>
      </w:r>
      <w:r>
        <w:br/>
      </w:r>
      <w:r>
        <w:rPr>
          <w:i/>
          <w:iCs/>
        </w:rPr>
        <w:t xml:space="preserve">Грюнвальда–Летникова. Указанная схема, при незначительном снижении точности, обладает высокой скоростью расчетов и лучше встраивается в конвейер оптимизации. Для каждой волны проведены два независимых</w:t>
      </w:r>
      <w:r>
        <w:br/>
      </w:r>
      <w:r>
        <w:rPr>
          <w:i/>
          <w:iCs/>
        </w:rPr>
        <w:t xml:space="preserve">прогона: с фиксированным α</w:t>
      </w:r>
      <w:r>
        <w:t xml:space="preserve">k = 1 (целочисленная GL-версия)</w:t>
      </w:r>
      <w:r>
        <w:br/>
      </w:r>
      <w:r>
        <w:t xml:space="preserve">и с α</w:t>
      </w:r>
      <w:r>
        <w:rPr>
          <w:i/>
          <w:iCs/>
        </w:rPr>
        <w:t xml:space="preserve">k как свободным параметром (дробная версия). Параметр α</w:t>
      </w:r>
      <w:r>
        <w:t xml:space="preserve">k</w:t>
      </w:r>
      <w:r>
        <w:br/>
      </w:r>
      <w:r>
        <w:t xml:space="preserve">введён через сигмоидальное преобразование φ = logit((α_k − 0.5)/0.5),</w:t>
      </w:r>
      <w:r>
        <w:br/>
      </w:r>
      <w:r>
        <w:t xml:space="preserve">гарантирующее задачу без ограничений при оптимизации.</w:t>
      </w:r>
    </w:p>
    <w:p>
      <w:pPr>
        <w:pStyle w:val="BodyText"/>
      </w:pPr>
      <w:r>
        <w:rPr>
          <w:b/>
          <w:bCs/>
        </w:rPr>
        <w:t xml:space="preserve">Задача 6. Формальное сравнение моделей.</w:t>
      </w:r>
      <w:r>
        <w:br/>
      </w:r>
      <w:r>
        <w:t xml:space="preserve">Для каждой волны вычислены метрики качества подгонки (RMSE, MAE,</w:t>
      </w:r>
      <w:r>
        <w:br/>
      </w:r>
      <w:r>
        <w:t xml:space="preserve">MAPE, R²) и информационные критерии (AIC, BIC) с учётом различного</w:t>
      </w:r>
      <w:r>
        <w:br/>
      </w:r>
      <w:r>
        <w:t xml:space="preserve">числа свободных параметров у целочисленной и дробной версий.</w:t>
      </w:r>
      <w:r>
        <w:br/>
      </w:r>
      <w:r>
        <w:t xml:space="preserve">Значимость дополнительного параметра α_k проверена посредством</w:t>
      </w:r>
      <w:r>
        <w:br/>
      </w:r>
      <w:r>
        <w:t xml:space="preserve">теста отношения правдоподобия (LRT): статистика Λ = n·(log MSE_int −</w:t>
      </w:r>
      <w:r>
        <w:br/>
      </w:r>
      <w:r>
        <w:t xml:space="preserve">log MSE_frac) ~ χ²(1). Дополнительно проведён анализ структуры</w:t>
      </w:r>
      <w:r>
        <w:br/>
      </w:r>
      <w:r>
        <w:t xml:space="preserve">остатков: ACF до 21 лага и Q-Q-графики для проверки нормальности.</w:t>
      </w:r>
    </w:p>
    <w:p>
      <w:pPr>
        <w:pStyle w:val="BodyText"/>
      </w:pPr>
      <w:r>
        <w:rPr>
          <w:b/>
          <w:bCs/>
        </w:rPr>
        <w:t xml:space="preserve">Задача 7. Содержательная интерпретация α_k.</w:t>
      </w:r>
      <w:r>
        <w:br/>
      </w:r>
      <w:r>
        <w:t xml:space="preserve">Выполнено сравнение подобранных значений α</w:t>
      </w:r>
      <w:r>
        <w:rPr>
          <w:i/>
          <w:iCs/>
        </w:rPr>
        <w:t xml:space="preserve">k с иммунологическим</w:t>
      </w:r>
      <w:r>
        <w:br/>
      </w:r>
      <w:r>
        <w:rPr>
          <w:i/>
          <w:iCs/>
        </w:rPr>
        <w:t xml:space="preserve">и эпидемиологическим контекстом соответствующих волн: охватом</w:t>
      </w:r>
      <w:r>
        <w:br/>
      </w:r>
      <w:r>
        <w:rPr>
          <w:i/>
          <w:iCs/>
        </w:rPr>
        <w:t xml:space="preserve">вакцинации, порядковым номером волны (как прокси накопленного</w:t>
      </w:r>
      <w:r>
        <w:br/>
      </w:r>
      <w:r>
        <w:rPr>
          <w:i/>
          <w:iCs/>
        </w:rPr>
        <w:t xml:space="preserve">естественного иммунитета), биологическими характеристиками</w:t>
      </w:r>
      <w:r>
        <w:br/>
      </w:r>
      <w:r>
        <w:rPr>
          <w:i/>
          <w:iCs/>
        </w:rPr>
        <w:t xml:space="preserve">доминирующего варианта (иммунный уклон, IFR). Сформулирована</w:t>
      </w:r>
      <w:r>
        <w:br/>
      </w:r>
      <w:r>
        <w:rPr>
          <w:i/>
          <w:iCs/>
        </w:rPr>
        <w:t xml:space="preserve">и эмпирически проверена гипотеза об α</w:t>
      </w:r>
      <w:r>
        <w:t xml:space="preserve">k &lt; 1 как маркере</w:t>
      </w:r>
      <w:r>
        <w:br/>
      </w:r>
      <w:r>
        <w:t xml:space="preserve">субдиффузионного режима, обусловленного популяционной иммунной</w:t>
      </w:r>
      <w:r>
        <w:br/>
      </w:r>
      <w:r>
        <w:t xml:space="preserve">памятью.</w:t>
      </w:r>
    </w:p>
    <w:p>
      <w:pPr>
        <w:pStyle w:val="BodyText"/>
      </w:pPr>
      <w:r>
        <w:rPr>
          <w:b/>
          <w:bCs/>
        </w:rPr>
        <w:t xml:space="preserve">Объект и предмет исследования.</w:t>
      </w:r>
      <w:r>
        <w:t xml:space="preserve"> </w:t>
      </w:r>
      <w:r>
        <w:t xml:space="preserve">Объект — динамика заболеваемости</w:t>
      </w:r>
      <w:r>
        <w:br/>
      </w:r>
      <w:r>
        <w:t xml:space="preserve">COVID-19 в г. Пскове (население ~200 000 чел.) за 2020–2025 гг.</w:t>
      </w:r>
      <w:r>
        <w:br/>
      </w:r>
      <w:r>
        <w:t xml:space="preserve">Предмет — сравнительная эффективность целочисленной и дробной</w:t>
      </w:r>
      <w:r>
        <w:br/>
      </w:r>
      <w:r>
        <w:t xml:space="preserve">SEIRD-моделей в ретроспективном описании последовательных волн</w:t>
      </w:r>
      <w:r>
        <w:br/>
      </w:r>
      <w:r>
        <w:t xml:space="preserve">пандемии при калибровке по данным рутинного эпидемиологического</w:t>
      </w:r>
      <w:r>
        <w:br/>
      </w:r>
      <w:r>
        <w:t xml:space="preserve">надзора.</w:t>
      </w:r>
    </w:p>
    <w:p>
      <w:pPr>
        <w:pStyle w:val="BodyText"/>
      </w:pPr>
      <w:r>
        <w:rPr>
          <w:b/>
          <w:bCs/>
        </w:rPr>
        <w:t xml:space="preserve">Научная новизна.</w:t>
      </w:r>
      <w:r>
        <w:t xml:space="preserve"> </w:t>
      </w:r>
      <w:r>
        <w:t xml:space="preserve">Впервые для российского малого города</w:t>
      </w:r>
      <w:r>
        <w:br/>
      </w:r>
      <w:r>
        <w:t xml:space="preserve">проведён систематический пооолновой анализ пандемии COVID-19 с</w:t>
      </w:r>
      <w:r>
        <w:br/>
      </w:r>
      <w:r>
        <w:t xml:space="preserve">применением формальных критериев выбора между целочисленной и</w:t>
      </w:r>
      <w:r>
        <w:br/>
      </w:r>
      <w:r>
        <w:t xml:space="preserve">дробной SEIRD-моделями, охватывающий полный период 2020–2025 гг.</w:t>
      </w:r>
      <w:r>
        <w:br/>
      </w:r>
      <w:r>
        <w:t xml:space="preserve">и все смены доминирующих вариантов вируса. Впервые α_k предложен</w:t>
      </w:r>
      <w:r>
        <w:br/>
      </w:r>
      <w:r>
        <w:t xml:space="preserve">и верифицирован как косвенный количественный маркер нарастания</w:t>
      </w:r>
      <w:r>
        <w:br/>
      </w:r>
      <w:r>
        <w:t xml:space="preserve">популяционного иммунитета, поддающийся оценке из данных</w:t>
      </w:r>
      <w:r>
        <w:br/>
      </w:r>
      <w:r>
        <w:t xml:space="preserve">рутинного надзора без иммунологических обследований.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2026-04-14T00:13:54Z</dcterms:created>
  <dcterms:modified xsi:type="dcterms:W3CDTF">2026-04-14T00:13:54Z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