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c1d93a71bf6d8c87230405d767c793b5050736"/>
    <w:p>
      <w:pPr>
        <w:pStyle w:val="Heading1"/>
      </w:pPr>
      <w:r>
        <w:t xml:space="preserve">2.2 Предобработка данных</w:t>
      </w:r>
    </w:p>
    <w:bookmarkStart w:id="9" w:name="Xfdf3a47f3c48f1da43438a4b81f777acc3f5a94"/>
    <w:p>
      <w:pPr>
        <w:pStyle w:val="Heading2"/>
      </w:pPr>
      <w:r>
        <w:t xml:space="preserve">2.2.1 Первичная подготовка исходных файлов</w:t>
      </w:r>
    </w:p>
    <w:p>
      <w:pPr>
        <w:pStyle w:val="FirstParagraph"/>
      </w:pPr>
      <w:r>
        <w:t xml:space="preserve">Исходные данные поступали в формате Microsoft Excel с многоуровневыми объединёнными заголовками (4–5 строк), кириллическими наименованиями столбцов и датами, закодированными исключительно в именах листов. Для листов до декабря 2020 года использовался широкий кросс-секционный формат (одна строка на субъект), тогда как начиная с декабря 2020 года применялся длинный формат с явным столбцом ДАТА. Каждый из трёх источников — форма еженедельного мониторинга внебольничных пневмоний (ВП), оперативные сводки COVID-19 за 2020–2021 гг. и расширенные сводки за 2021–2025 гг. — требовал отдельной логики разбора.</w:t>
      </w:r>
    </w:p>
    <w:p>
      <w:pPr>
        <w:pStyle w:val="BodyText"/>
      </w:pPr>
      <w:r>
        <w:t xml:space="preserve">На этапе первичной подготовки выполнялось два класса преобразований. Первый класс — структурный: унификация схем столбцов, разрешение объединённых ячеек, извлечение дат из имён листов и добавление их в качестве явного поля. Второй класс — терминологический: приведение кириллических наименований к единому английскому пространству имён согласно сводной таблице сопоставления (</w:t>
      </w:r>
      <w:r>
        <w:rPr>
          <w:rStyle w:val="VerbatimChar"/>
        </w:rPr>
        <w:t xml:space="preserve">column_mapping</w:t>
      </w:r>
      <w:r>
        <w:t xml:space="preserve">), содержащей пять листов и охватывающей все форматы источников. Сопоставление выполнялось вручную во избежание систематических ошибок автоматического перевода специализированной медицинской терминологии. Результатом этапа служил набор структурированных таблиц в формате CSV, пригодных для прямого импорта в Julia посредством</w:t>
      </w:r>
      <w:r>
        <w:t xml:space="preserve"> </w:t>
      </w:r>
      <w:r>
        <w:rPr>
          <w:rStyle w:val="VerbatimChar"/>
        </w:rPr>
        <w:t xml:space="preserve">CSV.jl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 </w:t>
      </w:r>
      <w:r>
        <w:t xml:space="preserve">[13].</w:t>
      </w:r>
    </w:p>
    <w:bookmarkEnd w:id="9"/>
    <w:bookmarkStart w:id="10" w:name="X5bf21a52d02c7a81251adcb649a872b9f62719c"/>
    <w:p>
      <w:pPr>
        <w:pStyle w:val="Heading2"/>
      </w:pPr>
      <w:r>
        <w:t xml:space="preserve">2.2.2 Фильтрация по объекту исследования</w:t>
      </w:r>
    </w:p>
    <w:p>
      <w:pPr>
        <w:pStyle w:val="FirstParagraph"/>
      </w:pPr>
      <w:r>
        <w:t xml:space="preserve">Из объединённого общероссийского набора данных, охватывающего 85 субъектов Российской Федерации, был выделен подмассив, относящийся к Псковской области, по составному ключу</w:t>
      </w:r>
      <w:r>
        <w:t xml:space="preserve"> </w:t>
      </w:r>
      <w:r>
        <w:rPr>
          <w:rStyle w:val="VerbatimChar"/>
        </w:rPr>
        <w:t xml:space="preserve">(дата, субъект)</w:t>
      </w:r>
      <w:r>
        <w:t xml:space="preserve">. После фильтрации итоговый временно́й ряд охватывал период с 17 марта 2020 года по 30 декабря 2024 года, что в совокупности составило 1750 наблюдений. Базовыми переменными анализа служили: накопленное число подтверждённых случаев COVID-19 (</w:t>
      </w:r>
      <w:r>
        <w:rPr>
          <w:rStyle w:val="VerbatimChar"/>
        </w:rPr>
        <w:t xml:space="preserve">total</w:t>
      </w:r>
      <w:r>
        <w:t xml:space="preserve">), ежедневный прирост (</w:t>
      </w:r>
      <w:r>
        <w:rPr>
          <w:rStyle w:val="VerbatimChar"/>
        </w:rPr>
        <w:t xml:space="preserve">daily</w:t>
      </w:r>
      <w:r>
        <w:t xml:space="preserve">), накопленное число летальных исходов (</w:t>
      </w:r>
      <w:r>
        <w:rPr>
          <w:rStyle w:val="VerbatimChar"/>
        </w:rPr>
        <w:t xml:space="preserve">deaths_total</w:t>
      </w:r>
      <w:r>
        <w:t xml:space="preserve">) и ежедневное число смертей (</w:t>
      </w:r>
      <w:r>
        <w:rPr>
          <w:rStyle w:val="VerbatimChar"/>
        </w:rPr>
        <w:t xml:space="preserve">deaths_daily</w:t>
      </w:r>
      <w:r>
        <w:t xml:space="preserve">).</w:t>
      </w:r>
    </w:p>
    <w:bookmarkEnd w:id="10"/>
    <w:bookmarkStart w:id="11" w:name="X62fb1cf44165bd44791a8daf8918cd566f836ee"/>
    <w:p>
      <w:pPr>
        <w:pStyle w:val="Heading2"/>
      </w:pPr>
      <w:r>
        <w:t xml:space="preserve">2.2.3 Восстановление непрерывного временно́го ряда</w:t>
      </w:r>
    </w:p>
    <w:p>
      <w:pPr>
        <w:pStyle w:val="FirstParagraph"/>
      </w:pPr>
      <w:r>
        <w:t xml:space="preserve">Ранние сводки (март–ноябрь 2020 года) публиковались с нерегулярной, преимущественно еженедельной периодичностью, что порождало систематические пропуски в ряду ежедневных приростов. Оперативные данные за последующие периоды, хотя и публиковались ежедневно, содержали спорадические пропуски вследствие задержек отчётности.</w:t>
      </w:r>
    </w:p>
    <w:p>
      <w:pPr>
        <w:pStyle w:val="BodyText"/>
      </w:pPr>
      <w:r>
        <w:t xml:space="preserve">Восстановление непрерывного ряда выполнялось в два этапа. На первом этапе к накопленному числу случаев (</w:t>
      </w:r>
      <w:r>
        <w:rPr>
          <w:rStyle w:val="VerbatimChar"/>
        </w:rPr>
        <w:t xml:space="preserve">total</w:t>
      </w:r>
      <w:r>
        <w:t xml:space="preserve">) применялась интерполяция натуральными кубическими сплайнами по индексам наблюдений с известными значениями, что обеспечивало гладкость второго порядка в узлах интерполяции. Коэффициенты кубического полинома в каждом интервале вычислялись из системы уравнений, задающей условия непрерывности функции, первой и второй производных, при естественных граничных условиях (нулевая вторая производная на концах). На втором этапе восстановленный ряд</w:t>
      </w:r>
      <w:r>
        <w:t xml:space="preserve"> </w:t>
      </w:r>
      <w:r>
        <w:rPr>
          <w:rStyle w:val="VerbatimChar"/>
        </w:rPr>
        <w:t xml:space="preserve">total_interp</w:t>
      </w:r>
      <w:r>
        <w:t xml:space="preserve"> </w:t>
      </w:r>
      <w:r>
        <w:t xml:space="preserve">принудительно переводился в неубывающий: при обнаружении убывающего фрагмента — возможного артефакта интерполяции — значение заменялось предшествующим максимумом. Это условие физически обосновано: накопленное число случаев является монотонно неубывающей функцией времени.</w:t>
      </w:r>
    </w:p>
    <w:p>
      <w:pPr>
        <w:pStyle w:val="BodyText"/>
      </w:pPr>
      <w:r>
        <w:t xml:space="preserve">Ежедневный поток новых случаев восстанавливался как первая конечная разность интерполированного накопленного ряда: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t>o</m:t>
          </m:r>
          <m:r>
            <m:t>t</m:t>
          </m:r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t</m:t>
          </m:r>
          <m:r>
            <m:t>o</m:t>
          </m:r>
          <m:r>
            <m:t>t</m:t>
          </m:r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Полученная переменная (</w:t>
      </w:r>
      <w:r>
        <w:rPr>
          <w:rStyle w:val="VerbatimChar"/>
        </w:rPr>
        <w:t xml:space="preserve">daily_interp</w:t>
      </w:r>
      <w:r>
        <w:t xml:space="preserve">) служила основной наблюдаемой при дальнейшем сглаживании и моделировании.</w:t>
      </w:r>
    </w:p>
    <w:bookmarkEnd w:id="11"/>
    <w:bookmarkStart w:id="12" w:name="X90ca9e72f64ffbba64a2b2241cf92d8b5dc8d54"/>
    <w:p>
      <w:pPr>
        <w:pStyle w:val="Heading2"/>
      </w:pPr>
      <w:r>
        <w:t xml:space="preserve">2.2.4 Сглаживание</w:t>
      </w:r>
    </w:p>
    <w:p>
      <w:pPr>
        <w:pStyle w:val="FirstParagraph"/>
      </w:pPr>
      <w:r>
        <w:t xml:space="preserve">Ряд</w:t>
      </w:r>
      <w:r>
        <w:t xml:space="preserve"> </w:t>
      </w:r>
      <w:r>
        <w:rPr>
          <w:rStyle w:val="VerbatimChar"/>
        </w:rPr>
        <w:t xml:space="preserve">daily_interp</w:t>
      </w:r>
      <w:r>
        <w:t xml:space="preserve"> </w:t>
      </w:r>
      <w:r>
        <w:t xml:space="preserve">подвергался двум независимым процедурам сглаживания, результаты которых использовались для различных аналитических задач. Первая процедура — скользящее среднее с каузальным окном 18 дней (</w:t>
      </w:r>
      <w:r>
        <w:rPr>
          <w:rStyle w:val="VerbatimChar"/>
        </w:rPr>
        <w:t xml:space="preserve">daily_interp_smooth</w:t>
      </w:r>
      <w:r>
        <w:t xml:space="preserve">) — применялась для предварительной визуализации и построения стратифицированных по волнам панелей. Выбор ширины окна продиктован компромиссом между подавлением недельной периодичности отчётности (7-дневный цикл) и сохранением межволновой структуры с характерным масштабом порядка нескольких месяцев.</w:t>
      </w:r>
    </w:p>
    <w:p>
      <w:pPr>
        <w:pStyle w:val="BodyText"/>
      </w:pPr>
      <w:r>
        <w:t xml:space="preserve">Вторая процедура — свёртка с нормированным гауссовым ядром (стандартное отклонение σ = 15 дней, усечение при |t| &gt; 3σ) с коррекцией граничных эффектов — давала ряд</w:t>
      </w:r>
      <w:r>
        <w:t xml:space="preserve"> </w:t>
      </w:r>
      <w:r>
        <w:rPr>
          <w:rStyle w:val="VerbatimChar"/>
        </w:rPr>
        <w:t xml:space="preserve">daily_interp_gauss</w:t>
      </w:r>
      <w:r>
        <w:t xml:space="preserve">, использовавшийся для автоматической идентификации волн (раздел 2.3) и оценки положения пиков. Граничная коррекция реализовывалась перенормировкой весов на неполном окне, что исключало систематический сдвиг оценок в начале и конце ряда. Параметр σ = 15 дней обеспечивал подавление флуктуаций с периодом менее двух недель при сохранении временно́го разрешения, достаточного для различения волн длительностью 6–12 недель.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2026-04-14T00:22:11Z</dcterms:created>
  <dcterms:modified xsi:type="dcterms:W3CDTF">2026-04-14T00:22:11Z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