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0a7f65dd69f09ad14377b0def65a663d860eb8"/>
    <w:p>
      <w:pPr>
        <w:pStyle w:val="Heading1"/>
      </w:pPr>
      <w:r>
        <w:t xml:space="preserve">2.4 Календарь доминирования вариантов SARS-CoV-2</w:t>
      </w:r>
    </w:p>
    <w:bookmarkStart w:id="9" w:name="X7cb7fa963793c1a5c1bac3cd0d65c2b7910a250"/>
    <w:p>
      <w:pPr>
        <w:pStyle w:val="Heading2"/>
      </w:pPr>
      <w:r>
        <w:t xml:space="preserve">2.4.1 Составление базы параметров штаммов</w:t>
      </w:r>
    </w:p>
    <w:p>
      <w:pPr>
        <w:pStyle w:val="FirstParagraph"/>
      </w:pPr>
      <w:r>
        <w:t xml:space="preserve">Для привязки биологических характеристик возбудителя к каждому дню наблюдения был составлен авторский календарь доминирования вариантов SARS-CoV-2, охватывающий период с марта 2020 по декабрь 2024 года. Источниками параметров служили систематические обзоры и метаанализы по инкубационному периоду, серийному интервалу и времени генерации [4, 5], а также первичные публикации систем геномного надзора, документирующие смену доминирующих линий в России и сопредельных странах.</w:t>
      </w:r>
    </w:p>
    <w:p>
      <w:pPr>
        <w:pStyle w:val="BodyText"/>
      </w:pPr>
      <w:r>
        <w:t xml:space="preserve">Для каждого варианта в таблице</w:t>
      </w:r>
      <w:r>
        <w:t xml:space="preserve"> </w:t>
      </w:r>
      <w:r>
        <w:rPr>
          <w:rStyle w:val="VerbatimChar"/>
        </w:rPr>
        <w:t xml:space="preserve">covid19_seird_params.csv</w:t>
      </w:r>
      <w:r>
        <w:t xml:space="preserve"> </w:t>
      </w:r>
      <w:r>
        <w:t xml:space="preserve">зафиксированы следующие поля. Идентификационные:</w:t>
      </w:r>
      <w:r>
        <w:t xml:space="preserve"> </w:t>
      </w:r>
      <w:r>
        <w:rPr>
          <w:rStyle w:val="VerbatimChar"/>
        </w:rPr>
        <w:t xml:space="preserve">strain_id</w:t>
      </w:r>
      <w:r>
        <w:t xml:space="preserve"> </w:t>
      </w:r>
      <w:r>
        <w:t xml:space="preserve">(уникальный строковый ключ),</w:t>
      </w:r>
      <w:r>
        <w:t xml:space="preserve"> </w:t>
      </w:r>
      <w:r>
        <w:rPr>
          <w:rStyle w:val="VerbatimChar"/>
        </w:rPr>
        <w:t xml:space="preserve">strain_name</w:t>
      </w:r>
      <w:r>
        <w:t xml:space="preserve"> </w:t>
      </w:r>
      <w:r>
        <w:t xml:space="preserve">(общепринятое название),</w:t>
      </w:r>
      <w:r>
        <w:t xml:space="preserve"> </w:t>
      </w:r>
      <w:r>
        <w:rPr>
          <w:rStyle w:val="VerbatimChar"/>
        </w:rPr>
        <w:t xml:space="preserve">pango_lineage</w:t>
      </w:r>
      <w:r>
        <w:t xml:space="preserve"> </w:t>
      </w:r>
      <w:r>
        <w:t xml:space="preserve">(классификация Pango),</w:t>
      </w:r>
      <w:r>
        <w:t xml:space="preserve"> </w:t>
      </w:r>
      <w:r>
        <w:rPr>
          <w:rStyle w:val="VerbatimChar"/>
        </w:rPr>
        <w:t xml:space="preserve">dom_start_adj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dom_end_adj</w:t>
      </w:r>
      <w:r>
        <w:t xml:space="preserve"> </w:t>
      </w:r>
      <w:r>
        <w:t xml:space="preserve">(скорректированные даты начала и окончания периода доминирования). Биологические параметры:</w:t>
      </w:r>
      <w:r>
        <w:t xml:space="preserve"> </w:t>
      </w:r>
      <w:r>
        <w:rPr>
          <w:rStyle w:val="VerbatimChar"/>
        </w:rPr>
        <w:t xml:space="preserve">R0_min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R0_avg</w:t>
      </w:r>
      <w:r>
        <w:t xml:space="preserve">,</w:t>
      </w:r>
      <w:r>
        <w:t xml:space="preserve"> </w:t>
      </w:r>
      <w:r>
        <w:rPr>
          <w:rStyle w:val="VerbatimChar"/>
        </w:rPr>
        <w:t xml:space="preserve">R0_max</w:t>
      </w:r>
      <w:r>
        <w:t xml:space="preserve"> </w:t>
      </w:r>
      <w:r>
        <w:t xml:space="preserve">— диапазон базового репродуктивного числа;</w:t>
      </w:r>
      <w:r>
        <w:t xml:space="preserve"> </w:t>
      </w:r>
      <w:r>
        <w:rPr>
          <w:rStyle w:val="VerbatimChar"/>
        </w:rPr>
        <w:t xml:space="preserve">T_incub_avg_days</w:t>
      </w:r>
      <w:r>
        <w:t xml:space="preserve"> </w:t>
      </w:r>
      <w:r>
        <w:t xml:space="preserve">— средняя длительность латентного периода с соответствующей скоростью экспонирования $\sigma = 1/T</w:t>
      </w:r>
      <w:r>
        <w:rPr>
          <w:i/>
          <w:iCs/>
        </w:rPr>
        <w:t xml:space="preserve">{\text{incub}}$ (поле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sigma_avg_per_day</w:t>
      </w:r>
      <w:r>
        <w:rPr>
          <w:i/>
          <w:iCs/>
        </w:rPr>
        <w:t xml:space="preserve">);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T_infect_avg_days</w:t>
      </w:r>
      <w:r>
        <w:rPr>
          <w:i/>
          <w:iCs/>
        </w:rPr>
        <w:t xml:space="preserve"> </w:t>
      </w:r>
      <w:r>
        <w:rPr>
          <w:i/>
          <w:iCs/>
        </w:rPr>
        <w:t xml:space="preserve">— средняя длительность инфекционного периода с соответствующей скоростью выздоровления $\gamma = 1/T</w:t>
      </w:r>
      <w:r>
        <w:t xml:space="preserve">{\text{infect}}$ (поле</w:t>
      </w:r>
      <w:r>
        <w:t xml:space="preserve"> </w:t>
      </w:r>
      <w:r>
        <w:rPr>
          <w:rStyle w:val="VerbatimChar"/>
        </w:rPr>
        <w:t xml:space="preserve">gamma_avg_per_day</w:t>
      </w:r>
      <w:r>
        <w:t xml:space="preserve">);</w:t>
      </w:r>
      <w:r>
        <w:t xml:space="preserve"> </w:t>
      </w:r>
      <w:r>
        <w:rPr>
          <w:rStyle w:val="VerbatimChar"/>
        </w:rPr>
        <w:t xml:space="preserve">IFR_avg</w:t>
      </w:r>
      <w:r>
        <w:t xml:space="preserve"> </w:t>
      </w:r>
      <w:r>
        <w:t xml:space="preserve">— среднее значение инфекционной летальности с производной скоростью смерти $\mu = \text{IFR} \cdot \gamma / (1 - \text{IFR})$ (поле</w:t>
      </w:r>
      <w:r>
        <w:t xml:space="preserve"> </w:t>
      </w:r>
      <w:r>
        <w:rPr>
          <w:rStyle w:val="VerbatimChar"/>
        </w:rPr>
        <w:t xml:space="preserve">mu_avg_per_day</w:t>
      </w:r>
      <w:r>
        <w:t xml:space="preserve">);</w:t>
      </w:r>
      <w:r>
        <w:t xml:space="preserve"> </w:t>
      </w:r>
      <w:r>
        <w:rPr>
          <w:rStyle w:val="VerbatimChar"/>
        </w:rPr>
        <w:t xml:space="preserve">beta_min_per_day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beta_avg_per_day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beta_max_per_day</w:t>
      </w:r>
      <w:r>
        <w:t xml:space="preserve"> </w:t>
      </w:r>
      <w:r>
        <w:t xml:space="preserve">— диапазон скорости передачи, рассчитанный как $\beta = R_0 \cdot (\gamma + \mu)$;</w:t>
      </w:r>
      <w:r>
        <w:t xml:space="preserve"> </w:t>
      </w:r>
      <w:r>
        <w:rPr>
          <w:rStyle w:val="VerbatimChar"/>
        </w:rPr>
        <w:t xml:space="preserve">T_gen_avg_days</w:t>
      </w:r>
      <w:r>
        <w:t xml:space="preserve"> </w:t>
      </w:r>
      <w:r>
        <w:t xml:space="preserve">— среднее время генерации. Качественные признаки: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(относительная клиническая тяжесть) и</w:t>
      </w:r>
      <w:r>
        <w:t xml:space="preserve"> </w:t>
      </w:r>
      <w:r>
        <w:rPr>
          <w:rStyle w:val="VerbatimChar"/>
        </w:rPr>
        <w:t xml:space="preserve">immune_escape</w:t>
      </w:r>
      <w:r>
        <w:t xml:space="preserve"> </w:t>
      </w:r>
      <w:r>
        <w:t xml:space="preserve">(способность варианта уклоняться от выработанного иммунного ответа).</w:t>
      </w:r>
    </w:p>
    <w:p>
      <w:pPr>
        <w:pStyle w:val="BodyText"/>
      </w:pPr>
      <w:r>
        <w:t xml:space="preserve">Значения параметров для предкового уханьского варианта, Alpha и Delta заимствованы из метаанализа Xu et al. [4], охватывающего 147 исследований по временны́м параметрам передачи; для Omicron и его субвариантов (BA.1, BA.2, BA.4/5, XBB, JN.1 и поздних линий) дополнительно привлечены данные Madewell et al. [5]. Для периодов, не охваченных указанными метаанализами, параметры экстраполировались на основании тенденций укорочения серийного интервала, задокументированных при последовательной смене линий Omicron.</w:t>
      </w:r>
    </w:p>
    <w:bookmarkEnd w:id="9"/>
    <w:bookmarkStart w:id="10" w:name="Xae2220543d20bdd49a0bae6d692662c39a0b348"/>
    <w:p>
      <w:pPr>
        <w:pStyle w:val="Heading2"/>
      </w:pPr>
      <w:r>
        <w:t xml:space="preserve">2.4.2 Развёртка в ежедневный календарь</w:t>
      </w:r>
    </w:p>
    <w:p>
      <w:pPr>
        <w:pStyle w:val="FirstParagraph"/>
      </w:pPr>
      <w:r>
        <w:t xml:space="preserve">Исходная таблица параметров содержала по одной строке на вариант с интервальными датами доминирования. Для последующего объединения с ежедневным рядом заболеваемости каждая строка была развёрнута в набор однодневных записей: для каждой пары</w:t>
      </w:r>
      <w:r>
        <w:t xml:space="preserve"> </w:t>
      </w:r>
      <w:r>
        <w:rPr>
          <w:rStyle w:val="VerbatimChar"/>
        </w:rPr>
        <w:t xml:space="preserve">(dom_start_adj, dom_end_adj)</w:t>
      </w:r>
      <w:r>
        <w:t xml:space="preserve"> </w:t>
      </w:r>
      <w:r>
        <w:t xml:space="preserve">генерировался непрерывный перечень дат с шагом один день, каждой из которых присваивались все параметры соответствующего варианта. Результирующая промежуточная таблица</w:t>
      </w:r>
      <w:r>
        <w:t xml:space="preserve"> </w:t>
      </w:r>
      <w:r>
        <w:rPr>
          <w:rStyle w:val="VerbatimChar"/>
        </w:rPr>
        <w:t xml:space="preserve">strain_daily</w:t>
      </w:r>
      <w:r>
        <w:t xml:space="preserve"> </w:t>
      </w:r>
      <w:r>
        <w:t xml:space="preserve">содержала по одной строке на каждый день активности каждого варианта.</w:t>
      </w:r>
    </w:p>
    <w:bookmarkEnd w:id="10"/>
    <w:bookmarkStart w:id="11" w:name="X6341679020e7f60414fa60f09de3063bfffcea2"/>
    <w:p>
      <w:pPr>
        <w:pStyle w:val="Heading2"/>
      </w:pPr>
      <w:r>
        <w:t xml:space="preserve">2.4.3 Разрешение перекрытий</w:t>
      </w:r>
    </w:p>
    <w:p>
      <w:pPr>
        <w:pStyle w:val="FirstParagraph"/>
      </w:pPr>
      <w:r>
        <w:t xml:space="preserve">Временны́е интервалы доминирования смежных вариантов в ряде случаев перекрываются: новый вариант достигает порога доминирования прежде, чем предыдущий полностью вытесняется из циркуляции. При объединении по дате это порождает неоднозначность — несколько строк на одну дату. Для её устранения применялось детерминированное правило приоритета: при наличии нескольких вариантов, активных в одну дату, сохранялась запись с наиболее поздним значением</w:t>
      </w:r>
      <w:r>
        <w:t xml:space="preserve"> </w:t>
      </w:r>
      <w:r>
        <w:rPr>
          <w:rStyle w:val="VerbatimChar"/>
        </w:rPr>
        <w:t xml:space="preserve">dom_start_adj</w:t>
      </w:r>
      <w:r>
        <w:t xml:space="preserve">, то есть вариант с более поздним началом доминирования считался актуальным. При равенстве этой даты использовался порядковый номер варианта</w:t>
      </w:r>
      <w:r>
        <w:t xml:space="preserve"> </w:t>
      </w:r>
      <w:r>
        <w:rPr>
          <w:rStyle w:val="VerbatimChar"/>
        </w:rPr>
        <w:t xml:space="preserve">strain_num</w:t>
      </w:r>
      <w:r>
        <w:t xml:space="preserve"> </w:t>
      </w:r>
      <w:r>
        <w:t xml:space="preserve">как вторичный ключ сортировки. Каждой записи присваивалась метка типа сопоставления:</w:t>
      </w:r>
      <w:r>
        <w:t xml:space="preserve"> </w:t>
      </w:r>
      <w:r>
        <w:rPr>
          <w:rStyle w:val="VerbatimChar"/>
        </w:rPr>
        <w:t xml:space="preserve">"exact"</w:t>
      </w:r>
      <w:r>
        <w:t xml:space="preserve"> </w:t>
      </w:r>
      <w:r>
        <w:t xml:space="preserve">при отсутствии перекрытий или</w:t>
      </w:r>
      <w:r>
        <w:t xml:space="preserve"> </w:t>
      </w:r>
      <w:r>
        <w:rPr>
          <w:rStyle w:val="VerbatimChar"/>
        </w:rPr>
        <w:t xml:space="preserve">"overlap_resolved"</w:t>
      </w:r>
      <w:r>
        <w:t xml:space="preserve"> </w:t>
      </w:r>
      <w:r>
        <w:t xml:space="preserve">при их наличии, а также счётчик</w:t>
      </w:r>
      <w:r>
        <w:t xml:space="preserve"> </w:t>
      </w:r>
      <w:r>
        <w:rPr>
          <w:rStyle w:val="VerbatimChar"/>
        </w:rPr>
        <w:t xml:space="preserve">n_matching_strains</w:t>
      </w:r>
      <w:r>
        <w:t xml:space="preserve">. Результирующая таблица</w:t>
      </w:r>
      <w:r>
        <w:t xml:space="preserve"> </w:t>
      </w:r>
      <w:r>
        <w:rPr>
          <w:rStyle w:val="VerbatimChar"/>
        </w:rPr>
        <w:t xml:space="preserve">strain_daily_resolved</w:t>
      </w:r>
      <w:r>
        <w:t xml:space="preserve"> </w:t>
      </w:r>
      <w:r>
        <w:t xml:space="preserve">содержала ровно одну строку на дату, покрывая весь период наблюдений.</w:t>
      </w:r>
    </w:p>
    <w:bookmarkEnd w:id="11"/>
    <w:bookmarkStart w:id="12" w:name="X9e0ff89e6e5ada485db2ec6109b67bb78817412"/>
    <w:p>
      <w:pPr>
        <w:pStyle w:val="Heading2"/>
      </w:pPr>
      <w:r>
        <w:t xml:space="preserve">2.4.4 Присоединение к ряду заболеваемости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strain_daily_resolved</w:t>
      </w:r>
      <w:r>
        <w:t xml:space="preserve"> </w:t>
      </w:r>
      <w:r>
        <w:t xml:space="preserve">была присоединена к основному ежедневному ряду заболеваемости операцией левого соединения (</w:t>
      </w:r>
      <w:r>
        <w:rPr>
          <w:rStyle w:val="VerbatimChar"/>
        </w:rPr>
        <w:t xml:space="preserve">leftjoin</w:t>
      </w:r>
      <w:r>
        <w:t xml:space="preserve">) по ключу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Результирующий обогащённый DataFrame</w:t>
      </w:r>
      <w:r>
        <w:t xml:space="preserve"> </w:t>
      </w:r>
      <w:r>
        <w:rPr>
          <w:rStyle w:val="VerbatimChar"/>
        </w:rPr>
        <w:t xml:space="preserve">df_enriched</w:t>
      </w:r>
      <w:r>
        <w:t xml:space="preserve"> </w:t>
      </w:r>
      <w:r>
        <w:t xml:space="preserve">содержал для каждого дня наблюдения как эпидемиологические переменные (</w:t>
      </w:r>
      <w:r>
        <w:rPr>
          <w:rStyle w:val="VerbatimChar"/>
        </w:rPr>
        <w:t xml:space="preserve">daily_interp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daily_interp_smooth</w:t>
      </w:r>
      <w:r>
        <w:t xml:space="preserve">, номер волны и производные), так и биологические параметры доминирующего варианта ($\sigma$, $\gamma$, $\mu$, $\beta$, $R_0$). Дни, выходящие за пределы охвата календаря штаммов, получали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по всем полям варианта и при калибровке моделей не использовались.</w:t>
      </w:r>
    </w:p>
    <w:p>
      <w:pPr>
        <w:pStyle w:val="BodyText"/>
      </w:pPr>
      <w:r>
        <w:t xml:space="preserve">Таким образом, для каждой волны, идентифицированной в разделе 2.3, оказывались известны априорные значения скоростей $\sigma$ и $\gamma$, служившие фиксированными параметрами при калибровке SEIRD-моделей (разделы 2.5–2.6), а значения $\beta</w:t>
      </w:r>
      <w:r>
        <w:rPr>
          <w:i/>
          <w:iCs/>
        </w:rPr>
        <w:t xml:space="preserve">{\text{avg}}$ и $\mu</w:t>
      </w:r>
      <w:r>
        <w:t xml:space="preserve">{\text{avg}}$ — справочными стартовыми точками оптимизации.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2026-04-14T00:46:21Z</dcterms:created>
  <dcterms:modified xsi:type="dcterms:W3CDTF">2026-04-14T00:46:21Z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