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C114F" w14:textId="77777777" w:rsidR="00832C05" w:rsidRPr="00B53CAD" w:rsidRDefault="00000000">
      <w:pPr>
        <w:pStyle w:val="1"/>
        <w:rPr>
          <w:lang w:val="ru-RU"/>
        </w:rPr>
      </w:pPr>
      <w:bookmarkStart w:id="0" w:name="X0c4d909e3d90e70a100c34b50dadf495af5117c"/>
      <w:r w:rsidRPr="00B53CAD">
        <w:rPr>
          <w:lang w:val="ru-RU"/>
        </w:rPr>
        <w:t>4. Обсуждение</w:t>
      </w:r>
    </w:p>
    <w:p w14:paraId="71A09A5C" w14:textId="77777777" w:rsidR="00B53CAD" w:rsidRPr="00B53CAD" w:rsidRDefault="00B53CAD" w:rsidP="00B53CAD">
      <w:pPr>
        <w:pStyle w:val="2"/>
        <w:rPr>
          <w:lang w:val="ru-RU"/>
        </w:rPr>
      </w:pPr>
      <w:bookmarkStart w:id="1" w:name="Xe3dd0096122b0e9dec3ebb024bd590b5becfddb"/>
      <w:bookmarkEnd w:id="0"/>
      <w:r w:rsidRPr="00B53CAD">
        <w:rPr>
          <w:lang w:val="ru-RU"/>
        </w:rPr>
        <w:t>4.1 Интерпретация основных результатов в контексте литературы</w:t>
      </w:r>
    </w:p>
    <w:p w14:paraId="394EB0FC" w14:textId="77777777" w:rsidR="00B53CAD" w:rsidRPr="00B53CAD" w:rsidRDefault="00B53CAD" w:rsidP="00B53CAD">
      <w:pPr>
        <w:pStyle w:val="3"/>
        <w:rPr>
          <w:lang w:val="ru-RU"/>
        </w:rPr>
      </w:pPr>
      <w:bookmarkStart w:id="2" w:name="X7aa4a4b8e2dd60e22ebc875f3fb23e4c3088cf3"/>
      <w:r w:rsidRPr="00B53CAD">
        <w:rPr>
          <w:lang w:val="ru-RU"/>
        </w:rPr>
        <w:t xml:space="preserve">4.1.1 Дробная </w:t>
      </w:r>
      <w:r>
        <w:t>SEIRD</w:t>
      </w:r>
      <w:r w:rsidRPr="00B53CAD">
        <w:rPr>
          <w:lang w:val="ru-RU"/>
        </w:rPr>
        <w:t>-модель: подтверждение рабочей гипотезы</w:t>
      </w:r>
    </w:p>
    <w:p w14:paraId="1AE88D3D" w14:textId="2E7DC301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Центральный результат настоящего исследования состоит в следующем: дробная </w:t>
      </w:r>
      <w:r>
        <w:t>SEIRD</w:t>
      </w:r>
      <w:r w:rsidRPr="00B53CAD">
        <w:rPr>
          <w:lang w:val="ru-RU"/>
        </w:rPr>
        <w:t xml:space="preserve">-модель с производной Капуто порядка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0,5;1</m:t>
            </m:r>
          </m:e>
        </m:d>
      </m:oMath>
      <w:r w:rsidRPr="00B53CAD">
        <w:rPr>
          <w:lang w:val="ru-RU"/>
        </w:rPr>
        <w:t xml:space="preserve">, откалиброванная волна за волной на данных рутинного надзора за г. Псковом, статистически значимо превосходит целочисленную модель в пяти из десяти эпидемических волн (волны 3, 7, 8, 9, 10; </w:t>
      </w:r>
      <w:r>
        <w:t>LRT</w:t>
      </w:r>
      <w:r w:rsidRPr="00B53CAD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&lt;0,05</m:t>
        </m:r>
      </m:oMath>
      <w:r w:rsidRPr="00B53CAD">
        <w:rPr>
          <w:lang w:val="ru-RU"/>
        </w:rPr>
        <w:t xml:space="preserve"> с поправкой Бонферрони), причём в поздних волнах Омикрон (7–10) это превосходство нарастает монотонно и достигает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m:rPr>
            <m:nor/>
          </m:rPr>
          <w:rPr>
            <w:rFonts w:ascii="Cambria Math" w:hAnsi="Cambria Math"/>
          </w:rPr>
          <m:t>AIC</m:t>
        </m:r>
      </m:oMath>
      <w:r w:rsidRPr="00B53CAD">
        <w:rPr>
          <w:lang w:val="ru-RU"/>
        </w:rPr>
        <w:t xml:space="preserve"> до </w:t>
      </w:r>
      <w:r w:rsidRPr="00B53CAD">
        <w:rPr>
          <w:b/>
          <w:bCs/>
          <w:lang w:val="ru-RU"/>
        </w:rPr>
        <w:t>[</w:t>
      </w:r>
      <w:proofErr w:type="spellStart"/>
      <w:r>
        <w:rPr>
          <w:b/>
          <w:bCs/>
        </w:rPr>
        <w:t>ΔAICmax</w:t>
      </w:r>
      <w:proofErr w:type="spellEnd"/>
      <w:r w:rsidRPr="00B53CAD">
        <w:rPr>
          <w:b/>
          <w:bCs/>
          <w:lang w:val="ru-RU"/>
        </w:rPr>
        <w:t>] единиц</w:t>
      </w:r>
      <w:r w:rsidRPr="00B53CAD">
        <w:rPr>
          <w:lang w:val="ru-RU"/>
        </w:rPr>
        <w:t xml:space="preserve"> — значения, соответствующего критерию «исключительно сильного свидетельства» по шкале </w:t>
      </w:r>
      <w:proofErr w:type="spellStart"/>
      <w:r w:rsidRPr="00B53CAD">
        <w:rPr>
          <w:lang w:val="ru-RU"/>
        </w:rPr>
        <w:t>Бёрнхэма</w:t>
      </w:r>
      <w:proofErr w:type="spellEnd"/>
      <w:r w:rsidRPr="00B53CAD">
        <w:rPr>
          <w:lang w:val="ru-RU"/>
        </w:rPr>
        <w:t xml:space="preserve">–Андерсона. Данный результат согласуется с рядом публикаций, в которых дробные </w:t>
      </w:r>
      <w:proofErr w:type="spellStart"/>
      <w:r w:rsidRPr="00B53CAD">
        <w:rPr>
          <w:lang w:val="ru-RU"/>
        </w:rPr>
        <w:t>компартментные</w:t>
      </w:r>
      <w:proofErr w:type="spellEnd"/>
      <w:r w:rsidRPr="00B53CAD">
        <w:rPr>
          <w:lang w:val="ru-RU"/>
        </w:rPr>
        <w:t xml:space="preserve"> модели были применены к данным о </w:t>
      </w:r>
      <w:r>
        <w:t>COVID</w:t>
      </w:r>
      <w:r w:rsidRPr="00B53CAD">
        <w:rPr>
          <w:lang w:val="ru-RU"/>
        </w:rPr>
        <w:t xml:space="preserve">-19, — в особенности с работами </w:t>
      </w:r>
      <w:proofErr w:type="spellStart"/>
      <w:r w:rsidRPr="00B53CAD">
        <w:rPr>
          <w:lang w:val="ru-RU"/>
        </w:rPr>
        <w:t>Раджагопала</w:t>
      </w:r>
      <w:proofErr w:type="spellEnd"/>
      <w:r w:rsidRPr="00B53CAD">
        <w:rPr>
          <w:lang w:val="ru-RU"/>
        </w:rPr>
        <w:t xml:space="preserve"> и </w:t>
      </w:r>
      <w:proofErr w:type="spellStart"/>
      <w:r w:rsidRPr="00B53CAD">
        <w:rPr>
          <w:lang w:val="ru-RU"/>
        </w:rPr>
        <w:t>соавт</w:t>
      </w:r>
      <w:proofErr w:type="spellEnd"/>
      <w:r w:rsidRPr="00B53CAD">
        <w:rPr>
          <w:lang w:val="ru-RU"/>
        </w:rPr>
        <w:t xml:space="preserve">. [10] и </w:t>
      </w:r>
      <w:proofErr w:type="spellStart"/>
      <w:r w:rsidRPr="00B53CAD">
        <w:rPr>
          <w:lang w:val="ru-RU"/>
        </w:rPr>
        <w:t>Наика</w:t>
      </w:r>
      <w:proofErr w:type="spellEnd"/>
      <w:r w:rsidRPr="00B53CAD">
        <w:rPr>
          <w:lang w:val="ru-RU"/>
        </w:rPr>
        <w:t xml:space="preserve"> и </w:t>
      </w:r>
      <w:proofErr w:type="spellStart"/>
      <w:r w:rsidRPr="00B53CAD">
        <w:rPr>
          <w:lang w:val="ru-RU"/>
        </w:rPr>
        <w:t>соавт</w:t>
      </w:r>
      <w:proofErr w:type="spellEnd"/>
      <w:r w:rsidRPr="00B53CAD">
        <w:rPr>
          <w:lang w:val="ru-RU"/>
        </w:rPr>
        <w:t>. [11], показавших преимущество дробных моделей при описании затяжных фаз спада эпидемических волн в гетерогенных популяциях.</w:t>
      </w:r>
    </w:p>
    <w:p w14:paraId="667F20E5" w14:textId="4E26BEBE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Принципиальное отличие настоящего исследования от перечисленных работ состоит в том, что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53CAD">
        <w:rPr>
          <w:lang w:val="ru-RU"/>
        </w:rPr>
        <w:t xml:space="preserve"> оценивается </w:t>
      </w:r>
      <w:r w:rsidRPr="00B53CAD">
        <w:rPr>
          <w:b/>
          <w:bCs/>
          <w:lang w:val="ru-RU"/>
        </w:rPr>
        <w:t>отдельно для каждой волны</w:t>
      </w:r>
      <w:r w:rsidRPr="00B53CAD">
        <w:rPr>
          <w:lang w:val="ru-RU"/>
        </w:rPr>
        <w:t xml:space="preserve"> на фоне строгой биологической привязки параметров </w:t>
      </w:r>
      <m:oMath>
        <m:r>
          <m:rPr>
            <m:sty m:val="p"/>
          </m:rPr>
          <w:rPr>
            <w:rFonts w:ascii="Cambria Math" w:hAnsi="Cambria Math"/>
            <w:lang w:val="ru-RU"/>
          </w:rPr>
          <m:t>σ</m:t>
        </m:r>
      </m:oMath>
      <w:r w:rsidRPr="00B53CAD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γ</m:t>
        </m:r>
      </m:oMath>
      <w:r w:rsidRPr="00B53CAD">
        <w:rPr>
          <w:lang w:val="ru-RU"/>
        </w:rPr>
        <w:t xml:space="preserve"> к доминирующему варианту вируса. Это позволяет разделить два источника вариации: изменение вирусной биологии (смену </w:t>
      </w:r>
      <m:oMath>
        <m:r>
          <m:rPr>
            <m:sty m:val="p"/>
          </m:rPr>
          <w:rPr>
            <w:rFonts w:ascii="Cambria Math" w:hAnsi="Cambria Math"/>
            <w:lang w:val="ru-RU"/>
          </w:rPr>
          <m:t>σ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μ</m:t>
        </m:r>
      </m:oMath>
      <w:r w:rsidRPr="00B53CAD">
        <w:rPr>
          <w:lang w:val="ru-RU"/>
        </w:rPr>
        <w:t xml:space="preserve"> при переходе от Дельта к Омикрон) и изменение популяционного иммунологического контекста (убывание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53CAD">
        <w:rPr>
          <w:lang w:val="ru-RU"/>
        </w:rPr>
        <w:t xml:space="preserve">). В более ранних работах [10, 11] порядок дробной производной задавался единым для всего периода наблюдения, что препятствует содержательной интерпретации динамики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rPr>
          <w:lang w:val="ru-RU"/>
        </w:rPr>
        <w:t>.</w:t>
      </w:r>
    </w:p>
    <w:p w14:paraId="361DD2D3" w14:textId="77777777" w:rsidR="00B53CAD" w:rsidRPr="00B53CAD" w:rsidRDefault="00B53CAD" w:rsidP="00B53CAD">
      <w:pPr>
        <w:pStyle w:val="3"/>
        <w:rPr>
          <w:lang w:val="ru-RU"/>
        </w:rPr>
      </w:pPr>
      <w:bookmarkStart w:id="3" w:name="Xc4d678f507eac0975b1e5864ad0cb3658038500"/>
      <w:bookmarkEnd w:id="2"/>
      <w:r w:rsidRPr="00B53CAD">
        <w:rPr>
          <w:lang w:val="ru-RU"/>
        </w:rPr>
        <w:t>4.1.2 Ранние волны и пределы дробного расширения</w:t>
      </w:r>
    </w:p>
    <w:p w14:paraId="312DB621" w14:textId="5DBD23D4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Для волн 1 и 2 (уханьский штамм, 2020 год) подобранные значения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rPr>
          <w:lang w:val="ru-RU"/>
        </w:rPr>
        <w:t xml:space="preserve"> не отличались от единицы ни по формальному критерию </w:t>
      </w:r>
      <w:r>
        <w:t>LRT</w:t>
      </w:r>
      <w:r w:rsidRPr="00B53CAD">
        <w:rPr>
          <w:lang w:val="ru-RU"/>
        </w:rPr>
        <w:t xml:space="preserve">, ни по размеру </w:t>
      </w:r>
      <w:r>
        <w:t>ΔAIC</w:t>
      </w:r>
      <w:r w:rsidRPr="00B53CAD">
        <w:rPr>
          <w:lang w:val="ru-RU"/>
        </w:rPr>
        <w:t xml:space="preserve">. Это наблюдение имеет самостоятельное содержательное значение: оно означает, что в условиях полностью восприимчивой популяции — до формирования сколько-нибудь значимого коллективного иммунитета — стандартная марковская кинетика </w:t>
      </w:r>
      <w:r>
        <w:t>SEIRD</w:t>
      </w:r>
      <w:r w:rsidRPr="00B53CAD">
        <w:rPr>
          <w:lang w:val="ru-RU"/>
        </w:rPr>
        <w:t xml:space="preserve"> адекватно описывает наблюдаемую динамику, и введение оператора памяти не даёт регрессионного выигрыша. Тем самым нулевая гипотеза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:;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=1</m:t>
        </m:r>
      </m:oMath>
      <w:r w:rsidRPr="00B53CAD">
        <w:rPr>
          <w:lang w:val="ru-RU"/>
        </w:rPr>
        <w:t xml:space="preserve"> для ранних волн не отвергается не по техническим причинам (недостаточная мощность критерия), а </w:t>
      </w:r>
      <w:r w:rsidRPr="00B53CAD">
        <w:rPr>
          <w:lang w:val="ru-RU"/>
        </w:rPr>
        <w:lastRenderedPageBreak/>
        <w:t>по содержательным: «память» системы действительно минимальна в отсутствие иммунологического бэкграунда.</w:t>
      </w:r>
    </w:p>
    <w:p w14:paraId="41B0E2C9" w14:textId="77777777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Этот вывод согласуется с теоретическим анализом Ли и </w:t>
      </w:r>
      <w:proofErr w:type="spellStart"/>
      <w:r w:rsidRPr="00B53CAD">
        <w:rPr>
          <w:lang w:val="ru-RU"/>
        </w:rPr>
        <w:t>соавт</w:t>
      </w:r>
      <w:proofErr w:type="spellEnd"/>
      <w:r w:rsidRPr="00B53CAD">
        <w:rPr>
          <w:lang w:val="ru-RU"/>
        </w:rPr>
        <w:t xml:space="preserve">. [16], показавших, что дробная производная в </w:t>
      </w:r>
      <w:r>
        <w:t>SEIR</w:t>
      </w:r>
      <w:r w:rsidRPr="00B53CAD">
        <w:rPr>
          <w:lang w:val="ru-RU"/>
        </w:rPr>
        <w:t xml:space="preserve">-модели оказывает существенный эффект прежде всего на форму убывающей ветви эпидемической кривой, тогда как восходящая ветвь воспроизводится обоими классами моделей с близкой точностью. В данном исследовании это проявлялось в отсутствии значимой разницы </w:t>
      </w:r>
      <w:proofErr w:type="gramStart"/>
      <w:r>
        <w:t>ACF</w:t>
      </w:r>
      <w:r w:rsidRPr="00B53CAD">
        <w:rPr>
          <w:lang w:val="ru-RU"/>
        </w:rPr>
        <w:t>(</w:t>
      </w:r>
      <w:proofErr w:type="gramEnd"/>
      <w:r w:rsidRPr="00B53CAD">
        <w:rPr>
          <w:lang w:val="ru-RU"/>
        </w:rPr>
        <w:t>1) остатков между целочисленной и дробной моделями на фазе роста ранних волн.</w:t>
      </w:r>
    </w:p>
    <w:p w14:paraId="39F907D8" w14:textId="77777777" w:rsidR="00B53CAD" w:rsidRPr="00B53CAD" w:rsidRDefault="00B53CAD" w:rsidP="00B53CAD">
      <w:pPr>
        <w:pStyle w:val="3"/>
        <w:rPr>
          <w:lang w:val="ru-RU"/>
        </w:rPr>
      </w:pPr>
      <w:bookmarkStart w:id="4" w:name="X01866b2c09324af0abc402ec02e7beba6fc9ee1"/>
      <w:bookmarkEnd w:id="3"/>
      <w:r w:rsidRPr="00B53CAD">
        <w:rPr>
          <w:lang w:val="ru-RU"/>
        </w:rPr>
        <w:t>4.1.3 Дельта-волна как точка первого отклонения</w:t>
      </w:r>
    </w:p>
    <w:p w14:paraId="21AEC69B" w14:textId="3B383D14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Волна 3 (Дельта, осень–зима 2021 года) дала первое статистически значимое отклонение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&lt;1</m:t>
        </m:r>
      </m:oMath>
      <w:r w:rsidRPr="00B53CAD">
        <w:rPr>
          <w:lang w:val="ru-RU"/>
        </w:rPr>
        <w:t xml:space="preserve"> (</w:t>
      </w:r>
      <w:r>
        <w:t>ΔAIC</w:t>
      </w:r>
      <w:r w:rsidRPr="00B53CAD">
        <w:rPr>
          <w:lang w:val="ru-RU"/>
        </w:rPr>
        <w:t xml:space="preserve"> = [</w:t>
      </w:r>
      <w:r>
        <w:t>ΔAIC</w:t>
      </w:r>
      <w:r w:rsidRPr="00B53CAD">
        <w:rPr>
          <w:lang w:val="ru-RU"/>
        </w:rPr>
        <w:t xml:space="preserve">₃], </w:t>
      </w:r>
      <w:r>
        <w:t>LRT</w:t>
      </w:r>
      <w:r w:rsidRPr="00B53CAD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B53CAD">
        <w:rPr>
          <w:lang w:val="ru-RU"/>
        </w:rPr>
        <w:t xml:space="preserve"> = [</w:t>
      </w:r>
      <w:r>
        <w:t>p</w:t>
      </w:r>
      <w:r w:rsidRPr="00B53CAD">
        <w:rPr>
          <w:lang w:val="ru-RU"/>
        </w:rPr>
        <w:t xml:space="preserve">₃]). Биологический контекст этой волны принципиально отличается от контекста волн 1–2: к моменту её начала значительная часть псковского населения перенесла </w:t>
      </w:r>
      <w:r>
        <w:t>COVID</w:t>
      </w:r>
      <w:r w:rsidRPr="00B53CAD">
        <w:rPr>
          <w:lang w:val="ru-RU"/>
        </w:rPr>
        <w:t xml:space="preserve">-19 в ходе первых двух волн, а плановая вакцинация «Спутником </w:t>
      </w:r>
      <w:r>
        <w:t>V</w:t>
      </w:r>
      <w:r w:rsidRPr="00B53CAD">
        <w:rPr>
          <w:lang w:val="ru-RU"/>
        </w:rPr>
        <w:t xml:space="preserve">» проводилась с начала 2021 года. Совокупность этих факторов означает, что к осени 2021 года популяция обладала гетерогенным иммунным статусом — то есть именно той структурой, которую </w:t>
      </w:r>
      <w:proofErr w:type="spellStart"/>
      <w:r w:rsidRPr="00B53CAD">
        <w:rPr>
          <w:lang w:val="ru-RU"/>
        </w:rPr>
        <w:t>субдиффузионная</w:t>
      </w:r>
      <w:proofErr w:type="spellEnd"/>
      <w:r w:rsidRPr="00B53CAD">
        <w:rPr>
          <w:lang w:val="ru-RU"/>
        </w:rPr>
        <w:t xml:space="preserve"> кинетика </w:t>
      </w:r>
      <w:r>
        <w:t>GL</w:t>
      </w:r>
      <w:r w:rsidRPr="00B53CAD">
        <w:rPr>
          <w:lang w:val="ru-RU"/>
        </w:rPr>
        <w:t>-оператора формально кодирует как «память».</w:t>
      </w:r>
    </w:p>
    <w:p w14:paraId="4905F9AE" w14:textId="577C82B0" w:rsidR="00B53CAD" w:rsidRPr="00B53CAD" w:rsidRDefault="00B53CAD" w:rsidP="00B53CAD">
      <w:pPr>
        <w:pStyle w:val="af5"/>
        <w:rPr>
          <w:lang w:val="ru-RU"/>
        </w:rPr>
      </w:pPr>
      <w:r>
        <w:rPr>
          <w:lang w:val="ru-RU"/>
        </w:rPr>
        <w:t>З</w:t>
      </w:r>
      <w:r w:rsidRPr="00B53CAD">
        <w:rPr>
          <w:lang w:val="ru-RU"/>
        </w:rPr>
        <w:t>десь уместна</w:t>
      </w:r>
      <w:r w:rsidRPr="00B53CAD">
        <w:rPr>
          <w:lang w:val="ru-RU"/>
        </w:rPr>
        <w:t xml:space="preserve"> </w:t>
      </w:r>
      <w:r w:rsidRPr="00B53CAD">
        <w:rPr>
          <w:lang w:val="ru-RU"/>
        </w:rPr>
        <w:t xml:space="preserve">Параллель с работой </w:t>
      </w:r>
      <w:proofErr w:type="spellStart"/>
      <w:r w:rsidRPr="00B53CAD">
        <w:rPr>
          <w:lang w:val="ru-RU"/>
        </w:rPr>
        <w:t>Шмитца</w:t>
      </w:r>
      <w:proofErr w:type="spellEnd"/>
      <w:r w:rsidRPr="00B53CAD">
        <w:rPr>
          <w:lang w:val="ru-RU"/>
        </w:rPr>
        <w:t xml:space="preserve"> и </w:t>
      </w:r>
      <w:proofErr w:type="spellStart"/>
      <w:r w:rsidRPr="00B53CAD">
        <w:rPr>
          <w:lang w:val="ru-RU"/>
        </w:rPr>
        <w:t>соавт</w:t>
      </w:r>
      <w:proofErr w:type="spellEnd"/>
      <w:r w:rsidRPr="00B53CAD">
        <w:rPr>
          <w:lang w:val="ru-RU"/>
        </w:rPr>
        <w:t xml:space="preserve">. [15]: авторы показали, что в частично иммунной популяции параметр эффективного репродуктивного числа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53CAD">
        <w:rPr>
          <w:lang w:val="ru-RU"/>
        </w:rPr>
        <w:t xml:space="preserve"> убывает медленнее, чем предсказывает стандартная </w:t>
      </w:r>
      <w:r>
        <w:t>SIR</w:t>
      </w:r>
      <w:r w:rsidRPr="00B53CAD">
        <w:rPr>
          <w:lang w:val="ru-RU"/>
        </w:rPr>
        <w:t xml:space="preserve">-динамика, именно вследствие гетерогенности иммунного ответа. </w:t>
      </w:r>
      <w:r>
        <w:t>GL</w:t>
      </w:r>
      <w:r w:rsidRPr="00B53CAD">
        <w:rPr>
          <w:lang w:val="ru-RU"/>
        </w:rPr>
        <w:t xml:space="preserve">-оператор с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&lt;1</m:t>
        </m:r>
      </m:oMath>
      <w:r w:rsidRPr="00B53CAD">
        <w:rPr>
          <w:lang w:val="ru-RU"/>
        </w:rPr>
        <w:t xml:space="preserve"> реализует аналогичный механизм через нелокальное во времени взвешивание состояний системы: более ранние состояния оказывают на текущую динамику убывающее, но ненулевое влияние, что феноменологически эквивалентно учёту разброса в длительности иммунологической защиты.</w:t>
      </w:r>
    </w:p>
    <w:p w14:paraId="05486C18" w14:textId="77777777" w:rsidR="00B53CAD" w:rsidRPr="00B53CAD" w:rsidRDefault="00B53CAD" w:rsidP="00B53CAD">
      <w:pPr>
        <w:pStyle w:val="3"/>
        <w:rPr>
          <w:lang w:val="ru-RU"/>
        </w:rPr>
      </w:pPr>
      <w:bookmarkStart w:id="5" w:name="X79a4ece0c0c84a92835a3491d1d7ced8e448586"/>
      <w:bookmarkEnd w:id="4"/>
      <w:r w:rsidRPr="00B53CAD">
        <w:rPr>
          <w:lang w:val="ru-RU"/>
        </w:rPr>
        <w:t>4.1.4 Поздние волны Омикрон: нарастающее преимущество и интерпретация ядра памяти</w:t>
      </w:r>
    </w:p>
    <w:p w14:paraId="46678D11" w14:textId="0F357DE7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Монотонное убывание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B53CAD">
        <w:rPr>
          <w:lang w:val="ru-RU"/>
        </w:rPr>
        <w:t xml:space="preserve"> в волнах 7–10 (субварианты </w:t>
      </w:r>
      <w:r>
        <w:t>XBB</w:t>
      </w:r>
      <w:r w:rsidRPr="00B53CAD">
        <w:rPr>
          <w:lang w:val="ru-RU"/>
        </w:rPr>
        <w:t xml:space="preserve">, </w:t>
      </w:r>
      <w:r>
        <w:t>XBB</w:t>
      </w:r>
      <w:r w:rsidRPr="00B53CAD">
        <w:rPr>
          <w:lang w:val="ru-RU"/>
        </w:rPr>
        <w:t xml:space="preserve">.1.5, </w:t>
      </w:r>
      <w:r>
        <w:t>EG</w:t>
      </w:r>
      <w:r w:rsidRPr="00B53CAD">
        <w:rPr>
          <w:lang w:val="ru-RU"/>
        </w:rPr>
        <w:t xml:space="preserve">.5, </w:t>
      </w:r>
      <w:r>
        <w:t>JN</w:t>
      </w:r>
      <w:r w:rsidRPr="00B53CAD">
        <w:rPr>
          <w:lang w:val="ru-RU"/>
        </w:rPr>
        <w:t xml:space="preserve">.1) и одновременное нарастание </w:t>
      </w:r>
      <w:r>
        <w:t>ΔAIC</w:t>
      </w:r>
      <w:r w:rsidRPr="00B53CAD">
        <w:rPr>
          <w:lang w:val="ru-RU"/>
        </w:rPr>
        <w:t xml:space="preserve"> и </w:t>
      </w:r>
      <w:r>
        <w:t>ΔBIC</w:t>
      </w:r>
      <w:r w:rsidRPr="00B53CAD">
        <w:rPr>
          <w:lang w:val="ru-RU"/>
        </w:rPr>
        <w:t xml:space="preserve"> образуют последовательную картину, которая в совокупности с результатами раздела 3.5 даёт основания для содержательной интерпретации. Во-первых, корреляция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B53CAD">
        <w:rPr>
          <w:lang w:val="ru-RU"/>
        </w:rPr>
        <w:t xml:space="preserve"> с кумулятивной заражённостью (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B53CAD">
        <w:rPr>
          <w:lang w:val="ru-RU"/>
        </w:rPr>
        <w:t xml:space="preserve"> [</w:t>
      </w:r>
      <w:r>
        <w:t>r</w:t>
      </w:r>
      <w:r w:rsidRPr="00B53CAD">
        <w:rPr>
          <w:lang w:val="ru-RU"/>
        </w:rPr>
        <w:t>_</w:t>
      </w:r>
      <w:r>
        <w:t>spearman</w:t>
      </w:r>
      <w:r w:rsidRPr="00B53CAD">
        <w:rPr>
          <w:lang w:val="ru-RU"/>
        </w:rPr>
        <w:t xml:space="preserve">]) подтверждает, что убывание порядка дробной производной происходит синхронно с накоплением случаев в предшествующих волнах — то есть с ростом иммунологического «опыта» популяции. Во-вторых, ядра </w:t>
      </w:r>
      <w:r w:rsidRPr="00B53CAD">
        <w:rPr>
          <w:lang w:val="ru-RU"/>
        </w:rPr>
        <w:lastRenderedPageBreak/>
        <w:t xml:space="preserve">памяти </w:t>
      </w:r>
      <w:r>
        <w:t>GL</w:t>
      </w:r>
      <w:r w:rsidRPr="00B53CAD">
        <w:rPr>
          <w:lang w:val="ru-RU"/>
        </w:rPr>
        <w:t xml:space="preserve"> при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</m:oMath>
      <w:r w:rsidRPr="00B53CAD">
        <w:rPr>
          <w:lang w:val="ru-RU"/>
        </w:rPr>
        <w:t xml:space="preserve"> [</w:t>
      </w:r>
      <w:r>
        <w:t>αlate</w:t>
      </w:r>
      <w:r w:rsidRPr="00B53CAD">
        <w:rPr>
          <w:lang w:val="ru-RU"/>
        </w:rPr>
        <w:t xml:space="preserve">], характерном для волн 9–10, удерживают ненулевые веса на лагах до 60–90 дней, что соответствует типичной длительности клинически значимого </w:t>
      </w:r>
      <w:proofErr w:type="spellStart"/>
      <w:r w:rsidRPr="00B53CAD">
        <w:rPr>
          <w:lang w:val="ru-RU"/>
        </w:rPr>
        <w:t>антительного</w:t>
      </w:r>
      <w:proofErr w:type="spellEnd"/>
      <w:r w:rsidRPr="00B53CAD">
        <w:rPr>
          <w:lang w:val="ru-RU"/>
        </w:rPr>
        <w:t xml:space="preserve"> ответа после перенесённой инфекции, по данным </w:t>
      </w:r>
      <w:proofErr w:type="spellStart"/>
      <w:r w:rsidRPr="00B53CAD">
        <w:rPr>
          <w:lang w:val="ru-RU"/>
        </w:rPr>
        <w:t>метааналитических</w:t>
      </w:r>
      <w:proofErr w:type="spellEnd"/>
      <w:r w:rsidRPr="00B53CAD">
        <w:rPr>
          <w:lang w:val="ru-RU"/>
        </w:rPr>
        <w:t xml:space="preserve"> обзоров [4, 14].</w:t>
      </w:r>
    </w:p>
    <w:p w14:paraId="0D9B8F6F" w14:textId="5C1458CD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Данное совпадение не следует переоценивать: </w:t>
      </w:r>
      <w:r>
        <w:t>GL</w:t>
      </w:r>
      <w:r w:rsidRPr="00B53CAD">
        <w:rPr>
          <w:lang w:val="ru-RU"/>
        </w:rPr>
        <w:t xml:space="preserve">-оператор является феноменологическим инструментом и не раздельно описывает отдельные иммунологические процессы. Тем не менее согласованность временных масштабов ядра памяти и иммунологических процессов усиливает правдоподобность предлагаемой интерпретации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rPr>
          <w:lang w:val="ru-RU"/>
        </w:rPr>
        <w:t xml:space="preserve"> как косвенного маркера популяционной иммунной памяти. Аналогичный вывод, хотя и применительно к другому классу популяций и другому инфекционному агенту, был сформулирован в работе Гейторп и соавт. [14], отметивших, что параметрические модели, учитывающие иммунологическую гетерогенность, систематически превосходят гомогенные аналоги при описании динамики инфекционных заболеваний в частично иммунных когортах.</w:t>
      </w:r>
    </w:p>
    <w:p w14:paraId="23DA4907" w14:textId="77777777" w:rsidR="00B53CAD" w:rsidRPr="00B53CAD" w:rsidRDefault="00B53CAD" w:rsidP="00B53CAD">
      <w:pPr>
        <w:pStyle w:val="3"/>
        <w:rPr>
          <w:lang w:val="ru-RU"/>
        </w:rPr>
      </w:pPr>
      <w:bookmarkStart w:id="6" w:name="Xa22eea9aaa33ec8d3b6a04056df588bc4b6eb99"/>
      <w:bookmarkEnd w:id="5"/>
      <w:r w:rsidRPr="00B53CAD">
        <w:rPr>
          <w:lang w:val="ru-RU"/>
        </w:rPr>
        <w:t>4.1.5 Сопоставление с ОДУ-решателем и численная обоснованность результатов</w:t>
      </w:r>
    </w:p>
    <w:p w14:paraId="083051C3" w14:textId="77934D8F" w:rsidR="00B53CAD" w:rsidRPr="00B53CAD" w:rsidRDefault="00B53CAD" w:rsidP="00B53CAD">
      <w:pPr>
        <w:pStyle w:val="af5"/>
        <w:rPr>
          <w:lang w:val="ru-RU"/>
        </w:rPr>
      </w:pPr>
      <w:r w:rsidRPr="00B53CAD">
        <w:rPr>
          <w:lang w:val="ru-RU"/>
        </w:rPr>
        <w:t xml:space="preserve">Сравнение дробной </w:t>
      </w:r>
      <w:r>
        <w:t>GL</w:t>
      </w:r>
      <w:r w:rsidRPr="00B53CAD">
        <w:rPr>
          <w:lang w:val="ru-RU"/>
        </w:rPr>
        <w:t>-модели с целочисленной ОДУ-моделью (</w:t>
      </w:r>
      <w:r>
        <w:t>main</w:t>
      </w:r>
      <w:r w:rsidRPr="00B53CAD">
        <w:rPr>
          <w:lang w:val="ru-RU"/>
        </w:rPr>
        <w:t xml:space="preserve">7, решатель </w:t>
      </w:r>
      <w:r>
        <w:t>Verner</w:t>
      </w:r>
      <w:r w:rsidRPr="00B53CAD">
        <w:rPr>
          <w:lang w:val="ru-RU"/>
        </w:rPr>
        <w:t>–</w:t>
      </w:r>
      <w:proofErr w:type="spellStart"/>
      <w:r>
        <w:t>Rodas</w:t>
      </w:r>
      <w:proofErr w:type="spellEnd"/>
      <w:r w:rsidRPr="00B53CAD">
        <w:rPr>
          <w:lang w:val="ru-RU"/>
        </w:rPr>
        <w:t>5</w:t>
      </w:r>
      <w:r>
        <w:t>P</w:t>
      </w:r>
      <w:r w:rsidRPr="00B53CAD">
        <w:rPr>
          <w:lang w:val="ru-RU"/>
        </w:rPr>
        <w:t xml:space="preserve"> пятого–седьмого порядка) позволяет исключить объяснение наблюдаемых преимуществ численными артефактами </w:t>
      </w:r>
      <w:r>
        <w:t>GL</w:t>
      </w:r>
      <w:r w:rsidRPr="00B53CAD">
        <w:rPr>
          <w:lang w:val="ru-RU"/>
        </w:rPr>
        <w:t xml:space="preserve">-схемы. Разность </w:t>
      </w:r>
      <w:proofErr w:type="spellStart"/>
      <m:oMath>
        <m:r>
          <m:rPr>
            <m:nor/>
          </m:rPr>
          <w:rPr>
            <w:rFonts w:ascii="Cambria Math" w:hAnsi="Cambria Math"/>
          </w:rPr>
          <m:t>AIC</m:t>
        </m:r>
        <m:r>
          <m:rPr>
            <m:nor/>
          </m:rPr>
          <w:rPr>
            <w:rFonts w:ascii="Cambria Math" w:hAnsi="Cambria Math"/>
            <w:iCs/>
          </w:rPr>
          <m:t>main</m:t>
        </m:r>
        <w:proofErr w:type="spellEnd"/>
        <m:r>
          <m:rPr>
            <m:nor/>
          </m:rPr>
          <w:rPr>
            <w:rFonts w:ascii="Cambria Math" w:hAnsi="Cambria Math"/>
            <w:iCs/>
            <w:lang w:val="ru-RU"/>
          </w:rPr>
          <m:t>7</m:t>
        </m:r>
        <m:r>
          <w:rPr>
            <w:rFonts w:ascii="Cambria Math" w:hAnsi="Cambria Math"/>
            <w:lang w:val="ru-RU"/>
          </w:rPr>
          <m:t>-</m:t>
        </m:r>
        <m:r>
          <m:rPr>
            <m:nor/>
          </m:rPr>
          <w:rPr>
            <w:rFonts w:ascii="Cambria Math" w:hAnsi="Cambria Math"/>
            <w:iCs/>
          </w:rPr>
          <m:t>AIC</m:t>
        </m:r>
        <m:r>
          <m:rPr>
            <m:nor/>
          </m:rPr>
          <w:rPr>
            <w:rFonts w:ascii="Cambria Math" w:hAnsi="Cambria Math"/>
          </w:rPr>
          <m:t>frac</m:t>
        </m:r>
      </m:oMath>
      <w:r w:rsidRPr="00B53CAD">
        <w:rPr>
          <w:lang w:val="ru-RU"/>
        </w:rPr>
        <w:t xml:space="preserve"> для волн 7–10 составила от [</w:t>
      </w:r>
      <w:r>
        <w:t>ΔAIC</w:t>
      </w:r>
      <w:r w:rsidRPr="00B53CAD">
        <w:rPr>
          <w:lang w:val="ru-RU"/>
        </w:rPr>
        <w:t>_</w:t>
      </w:r>
      <w:r>
        <w:t>m</w:t>
      </w:r>
      <w:r w:rsidRPr="00B53CAD">
        <w:rPr>
          <w:lang w:val="ru-RU"/>
        </w:rPr>
        <w:t>7_</w:t>
      </w:r>
      <w:r>
        <w:t>f</w:t>
      </w:r>
      <w:r w:rsidRPr="00B53CAD">
        <w:rPr>
          <w:lang w:val="ru-RU"/>
        </w:rPr>
        <w:t>_</w:t>
      </w:r>
      <w:r>
        <w:t>min</w:t>
      </w:r>
      <w:r w:rsidRPr="00B53CAD">
        <w:rPr>
          <w:lang w:val="ru-RU"/>
        </w:rPr>
        <w:t>] до [</w:t>
      </w:r>
      <w:r>
        <w:t>ΔAIC</w:t>
      </w:r>
      <w:r w:rsidRPr="00B53CAD">
        <w:rPr>
          <w:lang w:val="ru-RU"/>
        </w:rPr>
        <w:t>_</w:t>
      </w:r>
      <w:r>
        <w:t>m</w:t>
      </w:r>
      <w:r w:rsidRPr="00B53CAD">
        <w:rPr>
          <w:lang w:val="ru-RU"/>
        </w:rPr>
        <w:t>7_</w:t>
      </w:r>
      <w:r>
        <w:t>f</w:t>
      </w:r>
      <w:r w:rsidRPr="00B53CAD">
        <w:rPr>
          <w:lang w:val="ru-RU"/>
        </w:rPr>
        <w:t>_</w:t>
      </w:r>
      <w:r>
        <w:t>max</w:t>
      </w:r>
      <w:r w:rsidRPr="00B53CAD">
        <w:rPr>
          <w:lang w:val="ru-RU"/>
        </w:rPr>
        <w:t xml:space="preserve">] единиц, то есть дробная </w:t>
      </w:r>
      <w:r>
        <w:t>GL</w:t>
      </w:r>
      <w:r w:rsidRPr="00B53CAD">
        <w:rPr>
          <w:lang w:val="ru-RU"/>
        </w:rPr>
        <w:t xml:space="preserve">-модель превосходила высокоточный ОДУ-решатель на тех же волнах, на которых был значим </w:t>
      </w:r>
      <w:r>
        <w:t>LRT</w:t>
      </w:r>
      <w:r w:rsidRPr="00B53CAD">
        <w:rPr>
          <w:lang w:val="ru-RU"/>
        </w:rPr>
        <w:t xml:space="preserve">. Это означает, что преимущество дробной параметризации не является следствием более гибкого </w:t>
      </w:r>
      <w:r>
        <w:t>GL</w:t>
      </w:r>
      <w:r w:rsidRPr="00B53CAD">
        <w:rPr>
          <w:lang w:val="ru-RU"/>
        </w:rPr>
        <w:t xml:space="preserve">-интегратора по сравнению с явным методом Эйлера: целочисленная </w:t>
      </w:r>
      <w:r>
        <w:t>GL</w:t>
      </w:r>
      <w:r w:rsidRPr="00B53CAD">
        <w:rPr>
          <w:lang w:val="ru-RU"/>
        </w:rPr>
        <w:t>-модель (</w:t>
      </w:r>
      <w:r>
        <w:t>α</w:t>
      </w:r>
      <w:r w:rsidRPr="00B53CAD">
        <w:rPr>
          <w:lang w:val="ru-RU"/>
        </w:rPr>
        <w:t xml:space="preserve"> = 1) воспроизводила решение ОДУ-модели с относительной точностью, достаточной для данного класса задач, и принципиальная разница проявлялась именно при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&lt;1</m:t>
        </m:r>
      </m:oMath>
      <w:r w:rsidRPr="00B53CAD">
        <w:rPr>
          <w:lang w:val="ru-RU"/>
        </w:rPr>
        <w:t>.</w:t>
      </w:r>
    </w:p>
    <w:p w14:paraId="40BD4C81" w14:textId="46215732" w:rsidR="00B53CAD" w:rsidRPr="00B53CAD" w:rsidRDefault="00B53CAD" w:rsidP="00B53CAD">
      <w:pPr>
        <w:pStyle w:val="af5"/>
        <w:rPr>
          <w:lang w:val="ru-RU"/>
        </w:rPr>
      </w:pPr>
      <w:r>
        <w:rPr>
          <w:lang w:val="ru-RU"/>
        </w:rPr>
        <w:t>Указанный</w:t>
      </w:r>
      <w:r w:rsidRPr="00B53CAD">
        <w:rPr>
          <w:lang w:val="ru-RU"/>
        </w:rPr>
        <w:t xml:space="preserve"> контроль важен методологически, поскольку в ряде публикаций, применявших </w:t>
      </w:r>
      <w:r>
        <w:t>GL</w:t>
      </w:r>
      <w:r w:rsidRPr="00B53CAD">
        <w:rPr>
          <w:lang w:val="ru-RU"/>
        </w:rPr>
        <w:t>-схемы, отсутствовало явное сравнение с высокоточным целочисленным решателем, что оставляло открытым вопрос о том, чему именно приписывать улучшение подгонки — дробному порядку как таковому или особенностям численной дискретизации.</w:t>
      </w:r>
    </w:p>
    <w:p w14:paraId="2AC8B48D" w14:textId="77777777" w:rsidR="00B53CAD" w:rsidRPr="00B20D67" w:rsidRDefault="00B53CAD" w:rsidP="00B53CAD">
      <w:pPr>
        <w:pStyle w:val="2"/>
        <w:rPr>
          <w:lang w:val="ru-RU"/>
        </w:rPr>
      </w:pPr>
      <w:bookmarkStart w:id="7" w:name="X35925a5d556397154d8b8a2ee45b10f36362437"/>
      <w:bookmarkEnd w:id="1"/>
      <w:bookmarkEnd w:id="6"/>
      <w:r w:rsidRPr="00B20D67">
        <w:rPr>
          <w:lang w:val="ru-RU"/>
        </w:rPr>
        <w:lastRenderedPageBreak/>
        <w:t>4.2 Методологическое сравнение с альтернативными подходами</w:t>
      </w:r>
    </w:p>
    <w:p w14:paraId="70C357DE" w14:textId="77777777" w:rsidR="00B53CAD" w:rsidRPr="00B20D67" w:rsidRDefault="00B53CAD" w:rsidP="00B53CAD">
      <w:pPr>
        <w:pStyle w:val="3"/>
        <w:rPr>
          <w:lang w:val="ru-RU"/>
        </w:rPr>
      </w:pPr>
      <w:bookmarkStart w:id="8" w:name="X887a2b0f76ba3c71b345324d597ead757312b6e"/>
      <w:r w:rsidRPr="00B20D67">
        <w:rPr>
          <w:lang w:val="ru-RU"/>
        </w:rPr>
        <w:t xml:space="preserve">4.2.1 Дробный порядок </w:t>
      </w:r>
      <w:r>
        <w:t>vs</w:t>
      </w:r>
      <w:r w:rsidRPr="00B20D67">
        <w:rPr>
          <w:lang w:val="ru-RU"/>
        </w:rPr>
        <w:t xml:space="preserve">. нестационарный </w:t>
      </w:r>
      <w:r>
        <w:t>β</w:t>
      </w:r>
      <w:r w:rsidRPr="00B20D67">
        <w:rPr>
          <w:lang w:val="ru-RU"/>
        </w:rPr>
        <w:t>(</w:t>
      </w:r>
      <w:r>
        <w:t>t</w:t>
      </w:r>
      <w:r w:rsidRPr="00B20D67">
        <w:rPr>
          <w:lang w:val="ru-RU"/>
        </w:rPr>
        <w:t>)</w:t>
      </w:r>
    </w:p>
    <w:p w14:paraId="110EC6E7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Наиболее распространённой альтернативой введению дробного порядка в </w:t>
      </w:r>
      <w:r>
        <w:t>SEIRD</w:t>
      </w:r>
      <w:r w:rsidRPr="00B20D67">
        <w:rPr>
          <w:lang w:val="ru-RU"/>
        </w:rPr>
        <w:t xml:space="preserve">-модель является параметризация нестационарного коэффициента передачи </w:t>
      </w:r>
      <m:oMath>
        <m:r>
          <w:rPr>
            <w:rFonts w:ascii="Cambria Math" w:hAnsi="Cambria Math"/>
            <w:lang w:val="ru-RU"/>
          </w:rPr>
          <m:t>β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rPr>
          <w:lang w:val="ru-RU"/>
        </w:rPr>
        <w:t xml:space="preserve">: кусочно-постоянного, экспоненциально убывающего или управляемого внешней ковариатой (например, индексом подвижности населения) [5]. Подобные подходы также способны воспроизвести затяжной спад эпидемической кривой — за счёт предписанного снижения </w:t>
      </w:r>
      <m:oMath>
        <m:r>
          <w:rPr>
            <w:rFonts w:ascii="Cambria Math" w:hAnsi="Cambria Math"/>
            <w:lang w:val="ru-RU"/>
          </w:rPr>
          <m:t>β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rPr>
          <w:lang w:val="ru-RU"/>
        </w:rPr>
        <w:t xml:space="preserve"> в фазе убывания волны. Принципиальное различие, однако, состоит в механистическом статусе параметра: </w:t>
      </w:r>
      <m:oMath>
        <m:r>
          <w:rPr>
            <w:rFonts w:ascii="Cambria Math" w:hAnsi="Cambria Math"/>
            <w:lang w:val="ru-RU"/>
          </w:rPr>
          <m:t>β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rPr>
          <w:lang w:val="ru-RU"/>
        </w:rPr>
        <w:t xml:space="preserve"> является прямым наблюдаемым образом всей совокупности факторов — поведенческих, сезонных, иммунологических, — тогда как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rPr>
          <w:lang w:val="ru-RU"/>
        </w:rPr>
        <w:t xml:space="preserve"> в рамках предлагаемой постановки задаётся единым скаляром для всей волны и в первом приближении отражает преимущественно иммунологический контекст, поскольку поведенческие и сезонные компоненты поглощаются подобранным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β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20D67">
        <w:rPr>
          <w:lang w:val="ru-RU"/>
        </w:rPr>
        <w:t>.</w:t>
      </w:r>
    </w:p>
    <w:p w14:paraId="7EF14B14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Данное преимущество единственности имеет оборотную сторону: модель с </w:t>
      </w:r>
      <m:oMath>
        <m:r>
          <w:rPr>
            <w:rFonts w:ascii="Cambria Math" w:hAnsi="Cambria Math"/>
            <w:lang w:val="ru-RU"/>
          </w:rPr>
          <m:t>β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rPr>
          <w:lang w:val="ru-RU"/>
        </w:rPr>
        <w:t xml:space="preserve"> располагает значительно большей гибкостью при несимметричных волнах нестандартной формы — двугорбых кривых, волн с «плато» — которые при фиксированных </w:t>
      </w:r>
      <m:oMath>
        <m:r>
          <w:rPr>
            <w:rFonts w:ascii="Cambria Math" w:hAnsi="Cambria Math"/>
            <w:lang w:val="ru-RU"/>
          </w:rPr>
          <m:t>σ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  <w:lang w:val="ru-RU"/>
          </w:rPr>
          <m:t>γ</m:t>
        </m:r>
      </m:oMath>
      <w:r w:rsidRPr="00B20D67">
        <w:rPr>
          <w:lang w:val="ru-RU"/>
        </w:rPr>
        <w:t xml:space="preserve"> и скалярном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rPr>
          <w:lang w:val="ru-RU"/>
        </w:rPr>
        <w:t xml:space="preserve"> принципиально не воспроизводимы. В анализируемых данных таких волн выявлено не было, однако при переносе методологии на популяции с более выраженными локальными неоднородностями это ограничение может проявиться. Таким образом,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rPr>
          <w:lang w:val="ru-RU"/>
        </w:rPr>
        <w:t xml:space="preserve">-параметризация и нестационарный </w:t>
      </w:r>
      <m:oMath>
        <m:r>
          <w:rPr>
            <w:rFonts w:ascii="Cambria Math" w:hAnsi="Cambria Math"/>
            <w:lang w:val="ru-RU"/>
          </w:rPr>
          <m:t>β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rPr>
          <w:lang w:val="ru-RU"/>
        </w:rPr>
        <w:t xml:space="preserve"> следует рассматривать не как взаимно исключающие, а как взаимно дополняющие подходы с различными областями применения: первый оптимален для систематического межволнового сравнения в рамках единой модельной структуры, второй — для детального воспроизведения формы аномальных или сложносоставных волн.</w:t>
      </w:r>
    </w:p>
    <w:p w14:paraId="09DA4331" w14:textId="77777777" w:rsidR="00B53CAD" w:rsidRPr="00B20D67" w:rsidRDefault="00B53CAD" w:rsidP="00B53CAD">
      <w:pPr>
        <w:pStyle w:val="3"/>
        <w:rPr>
          <w:lang w:val="ru-RU"/>
        </w:rPr>
      </w:pPr>
      <w:bookmarkStart w:id="9" w:name="Xcc9d6b3d83c4d9769c1042ba77c967b5d19058b"/>
      <w:bookmarkEnd w:id="8"/>
      <w:r w:rsidRPr="00B20D67">
        <w:rPr>
          <w:lang w:val="ru-RU"/>
        </w:rPr>
        <w:t>4.2.2 Сопоставление со схемами с явным отслеживанием иммунного фона</w:t>
      </w:r>
    </w:p>
    <w:p w14:paraId="15506B45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Альтернативным подходом к моделированию нарастающего популяционного иммунитета является явное введение в </w:t>
      </w:r>
      <w:proofErr w:type="spellStart"/>
      <w:r w:rsidRPr="00B20D67">
        <w:rPr>
          <w:lang w:val="ru-RU"/>
        </w:rPr>
        <w:t>компартментную</w:t>
      </w:r>
      <w:proofErr w:type="spellEnd"/>
      <w:r w:rsidRPr="00B20D67">
        <w:rPr>
          <w:lang w:val="ru-RU"/>
        </w:rPr>
        <w:t xml:space="preserve"> структуру дополнительных состояний, отражающих динамику иммунизации: вакцинированного компартмента </w:t>
      </w:r>
      <m:oMath>
        <m:r>
          <w:rPr>
            <w:rFonts w:ascii="Cambria Math" w:hAnsi="Cambria Math"/>
          </w:rPr>
          <m:t>V</m:t>
        </m:r>
      </m:oMath>
      <w:r w:rsidRPr="00B20D67">
        <w:rPr>
          <w:lang w:val="ru-RU"/>
        </w:rPr>
        <w:t xml:space="preserve">, компартмента с ослабленным иммунитетом </w:t>
      </w:r>
      <m:oMath>
        <m:r>
          <w:rPr>
            <w:rFonts w:ascii="Cambria Math" w:hAnsi="Cambria Math"/>
          </w:rPr>
          <m:t>W</m:t>
        </m:r>
      </m:oMath>
      <w:r w:rsidRPr="00B20D67">
        <w:rPr>
          <w:lang w:val="ru-RU"/>
        </w:rPr>
        <w:t xml:space="preserve"> и механизмов реинфекции (модели </w:t>
      </w:r>
      <w:r>
        <w:t>SEIRV</w:t>
      </w:r>
      <w:r w:rsidRPr="00B20D67">
        <w:rPr>
          <w:lang w:val="ru-RU"/>
        </w:rPr>
        <w:t xml:space="preserve">, </w:t>
      </w:r>
      <w:r>
        <w:t>SEIRS</w:t>
      </w:r>
      <w:r w:rsidRPr="00B20D67">
        <w:rPr>
          <w:lang w:val="ru-RU"/>
        </w:rPr>
        <w:t xml:space="preserve">, </w:t>
      </w:r>
      <w:r>
        <w:t>SEIRD</w:t>
      </w:r>
      <w:r w:rsidRPr="00B20D67">
        <w:rPr>
          <w:lang w:val="ru-RU"/>
        </w:rPr>
        <w:t xml:space="preserve"> с «утечкой» иммунитета) [2]. Такие расширения обладают очевидным механистическим преимуществом: каждый переход между компартментами биологически интерпретируем. Их главный практический </w:t>
      </w:r>
      <w:r w:rsidRPr="00B20D67">
        <w:rPr>
          <w:lang w:val="ru-RU"/>
        </w:rPr>
        <w:lastRenderedPageBreak/>
        <w:t>недостаток — потребность в дополнительных внешних данных: динамике охвата вакцинацией, оценках кросс-иммунитета между вариантами, серологических обследованиях для задания начальных условий. Для Пскова, как и для подавляющего большинства малых российских городов, ни один из этих источников не доступен в форме, пригодной для машинного использования: данные о вакцинации в разбивке по отдельным городам в открытом доступе не публиковались, серологические когорты для города не проводились.</w:t>
      </w:r>
    </w:p>
    <w:p w14:paraId="492FFFF2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Дробная </w:t>
      </w:r>
      <w:r>
        <w:t>SEIRD</w:t>
      </w:r>
      <w:r w:rsidRPr="00B20D67">
        <w:rPr>
          <w:lang w:val="ru-RU"/>
        </w:rPr>
        <w:t xml:space="preserve">-модель с параметром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rPr>
          <w:lang w:val="ru-RU"/>
        </w:rPr>
        <w:t xml:space="preserve"> предлагает принципиально иную компромиссную стратегию: вместо того чтобы эксплицитно отслеживать иммунный фон через дополнительные компартменты (что требует недоступных данных), она агрегирует суммарный эффект иммунологической «памяти» популяции в единый феноменологический параметр, извлекаемый непосредственно из наблюдаемой эпидемической кривой. Платой за это является потеря механистической разрешимости: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20D67">
        <w:rPr>
          <w:lang w:val="ru-RU"/>
        </w:rPr>
        <w:t xml:space="preserve"> не позволяет разделить вклады вакцинального и постинфекционного иммунитета. Однако именно в условиях дефицита вспомогательных данных это ограничение оказывается неизбежным для любого подхода, претендующего на применимость к рутинным данным надзора без специализированных регистров.</w:t>
      </w:r>
    </w:p>
    <w:p w14:paraId="517AC480" w14:textId="77777777" w:rsidR="00B53CAD" w:rsidRPr="00B20D67" w:rsidRDefault="00B53CAD" w:rsidP="00B53CAD">
      <w:pPr>
        <w:pStyle w:val="3"/>
        <w:rPr>
          <w:lang w:val="ru-RU"/>
        </w:rPr>
      </w:pPr>
      <w:bookmarkStart w:id="10" w:name="Xa239b9b2f6cdca2f9b195236c431ca317267682"/>
      <w:bookmarkEnd w:id="9"/>
      <w:r w:rsidRPr="00B20D67">
        <w:rPr>
          <w:lang w:val="ru-RU"/>
        </w:rPr>
        <w:t>4.2.3 Агентные и сетевые модели</w:t>
      </w:r>
    </w:p>
    <w:p w14:paraId="6DD13751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>Агентные модели (</w:t>
      </w:r>
      <w:r>
        <w:t>ABM</w:t>
      </w:r>
      <w:r w:rsidRPr="00B20D67">
        <w:rPr>
          <w:lang w:val="ru-RU"/>
        </w:rPr>
        <w:t xml:space="preserve">) и модели на основе контактных сетей [2] теоретически наиболее полно описывают гетерогенность популяции: каждый агент обладает индивидуальным иммунным статусом, и «память» системы реализуется через явное отслеживание состояния каждого узла сети. Вместе с тем калибровка </w:t>
      </w:r>
      <w:r>
        <w:t>ABM</w:t>
      </w:r>
      <w:r w:rsidRPr="00B20D67">
        <w:rPr>
          <w:lang w:val="ru-RU"/>
        </w:rPr>
        <w:t xml:space="preserve"> на данных рутинного надзора наталкивается на серьёзные препятствия: число параметров в таких моделях на порядки превышает число наблюдаемых, структура контактной сети для г. Пскова неизвестна, а вычислительная стоимость итерационной оптимизации </w:t>
      </w:r>
      <w:r>
        <w:t>ABM</w:t>
      </w:r>
      <w:r w:rsidRPr="00B20D67">
        <w:rPr>
          <w:lang w:val="ru-RU"/>
        </w:rPr>
        <w:t xml:space="preserve"> по </w:t>
      </w:r>
      <m:oMath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w:rPr>
            <w:rFonts w:ascii="Cambria Math" w:hAnsi="Cambria Math"/>
            <w:lang w:val="ru-RU"/>
          </w:rPr>
          <m:t>200,000</m:t>
        </m:r>
      </m:oMath>
      <w:r w:rsidRPr="00B20D67">
        <w:rPr>
          <w:lang w:val="ru-RU"/>
        </w:rPr>
        <w:t xml:space="preserve"> агентов при десяти независимых волнах является запретительной в отсутствие специализированной вычислительной инфраструктуры. Детерминированная дробная </w:t>
      </w:r>
      <w:r>
        <w:t>SEIRD</w:t>
      </w:r>
      <w:r w:rsidRPr="00B20D67">
        <w:rPr>
          <w:lang w:val="ru-RU"/>
        </w:rPr>
        <w:t xml:space="preserve">-модель с пятью–шестью свободными параметрами 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</m:oMath>
      <w:r w:rsidRPr="00B20D67">
        <w:rPr>
          <w:lang w:val="ru-RU"/>
        </w:rPr>
        <w:t xml:space="preserve"> </w:t>
      </w:r>
      <w:r>
        <w:t>GL</w:t>
      </w:r>
      <w:r w:rsidRPr="00B20D67">
        <w:rPr>
          <w:lang w:val="ru-RU"/>
        </w:rPr>
        <w:t>-интегратором принципиально эффективнее в данном отношении и обеспечивает воспроизводимость на стандартном рабочем месте исследователя.</w:t>
      </w:r>
    </w:p>
    <w:p w14:paraId="0E440FF2" w14:textId="77777777" w:rsidR="00B53CAD" w:rsidRPr="00B20D67" w:rsidRDefault="00B53CAD" w:rsidP="00B53CAD">
      <w:pPr>
        <w:pStyle w:val="3"/>
        <w:rPr>
          <w:lang w:val="ru-RU"/>
        </w:rPr>
      </w:pPr>
      <w:bookmarkStart w:id="11" w:name="X1afa0d633b4b3dd49c2a1f5a8797b5d50b2b06f"/>
      <w:bookmarkEnd w:id="10"/>
      <w:r w:rsidRPr="00B20D67">
        <w:rPr>
          <w:lang w:val="ru-RU"/>
        </w:rPr>
        <w:lastRenderedPageBreak/>
        <w:t xml:space="preserve">4.2.4 Позиционирование в контексте работ по дробным моделям </w:t>
      </w:r>
      <w:r>
        <w:t>COVID</w:t>
      </w:r>
      <w:r w:rsidRPr="00B20D67">
        <w:rPr>
          <w:lang w:val="ru-RU"/>
        </w:rPr>
        <w:t>-19</w:t>
      </w:r>
    </w:p>
    <w:p w14:paraId="64247195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Среди опубликованных работ по дробным </w:t>
      </w:r>
      <w:proofErr w:type="spellStart"/>
      <w:r w:rsidRPr="00B20D67">
        <w:rPr>
          <w:lang w:val="ru-RU"/>
        </w:rPr>
        <w:t>компартментным</w:t>
      </w:r>
      <w:proofErr w:type="spellEnd"/>
      <w:r w:rsidRPr="00B20D67">
        <w:rPr>
          <w:lang w:val="ru-RU"/>
        </w:rPr>
        <w:t xml:space="preserve"> моделям </w:t>
      </w:r>
      <w:r>
        <w:t>COVID</w:t>
      </w:r>
      <w:r w:rsidRPr="00B20D67">
        <w:rPr>
          <w:lang w:val="ru-RU"/>
        </w:rPr>
        <w:t xml:space="preserve">-19 три заслуживают детального методологического сопоставления. </w:t>
      </w:r>
      <w:proofErr w:type="spellStart"/>
      <w:r w:rsidRPr="00B20D67">
        <w:rPr>
          <w:lang w:val="ru-RU"/>
        </w:rPr>
        <w:t>Раджагопал</w:t>
      </w:r>
      <w:proofErr w:type="spellEnd"/>
      <w:r w:rsidRPr="00B20D67">
        <w:rPr>
          <w:lang w:val="ru-RU"/>
        </w:rPr>
        <w:t xml:space="preserve"> и </w:t>
      </w:r>
      <w:proofErr w:type="spellStart"/>
      <w:r w:rsidRPr="00B20D67">
        <w:rPr>
          <w:lang w:val="ru-RU"/>
        </w:rPr>
        <w:t>соавт</w:t>
      </w:r>
      <w:proofErr w:type="spellEnd"/>
      <w:r w:rsidRPr="00B20D67">
        <w:rPr>
          <w:lang w:val="ru-RU"/>
        </w:rPr>
        <w:t xml:space="preserve">. [10] применяли дробную </w:t>
      </w:r>
      <w:r>
        <w:t>SEIR</w:t>
      </w:r>
      <w:r w:rsidRPr="00B20D67">
        <w:rPr>
          <w:lang w:val="ru-RU"/>
        </w:rPr>
        <w:t xml:space="preserve">-модель (производная Капуто, единый </w:t>
      </w:r>
      <w:r>
        <w:t>α</w:t>
      </w:r>
      <w:r w:rsidRPr="00B20D67">
        <w:rPr>
          <w:lang w:val="ru-RU"/>
        </w:rPr>
        <w:t xml:space="preserve"> для всего периода) к агрегированным данным нескольких стран, получив </w:t>
      </w:r>
      <w:r>
        <w:t>α</w:t>
      </w:r>
      <w:r w:rsidRPr="00B20D67">
        <w:rPr>
          <w:lang w:val="ru-RU"/>
        </w:rPr>
        <w:t xml:space="preserve"> в диапазоне 0,87–0,94; их подход не предусматривал </w:t>
      </w:r>
      <w:proofErr w:type="spellStart"/>
      <w:r w:rsidRPr="00B20D67">
        <w:rPr>
          <w:lang w:val="ru-RU"/>
        </w:rPr>
        <w:t>поволнового</w:t>
      </w:r>
      <w:proofErr w:type="spellEnd"/>
      <w:r w:rsidRPr="00B20D67">
        <w:rPr>
          <w:lang w:val="ru-RU"/>
        </w:rPr>
        <w:t xml:space="preserve"> разбиения и биологической привязки </w:t>
      </w:r>
      <w:r>
        <w:t>σ</w:t>
      </w:r>
      <w:r w:rsidRPr="00B20D67">
        <w:rPr>
          <w:lang w:val="ru-RU"/>
        </w:rPr>
        <w:t xml:space="preserve">, </w:t>
      </w:r>
      <w:r>
        <w:t>γ</w:t>
      </w:r>
      <w:r w:rsidRPr="00B20D67">
        <w:rPr>
          <w:lang w:val="ru-RU"/>
        </w:rPr>
        <w:t xml:space="preserve"> к варианту. </w:t>
      </w:r>
      <w:proofErr w:type="spellStart"/>
      <w:r w:rsidRPr="00B20D67">
        <w:rPr>
          <w:lang w:val="ru-RU"/>
        </w:rPr>
        <w:t>Наик</w:t>
      </w:r>
      <w:proofErr w:type="spellEnd"/>
      <w:r w:rsidRPr="00B20D67">
        <w:rPr>
          <w:lang w:val="ru-RU"/>
        </w:rPr>
        <w:t xml:space="preserve"> и </w:t>
      </w:r>
      <w:proofErr w:type="spellStart"/>
      <w:r w:rsidRPr="00B20D67">
        <w:rPr>
          <w:lang w:val="ru-RU"/>
        </w:rPr>
        <w:t>соавт</w:t>
      </w:r>
      <w:proofErr w:type="spellEnd"/>
      <w:r w:rsidRPr="00B20D67">
        <w:rPr>
          <w:lang w:val="ru-RU"/>
        </w:rPr>
        <w:t xml:space="preserve">. [11] использовали дробную </w:t>
      </w:r>
      <w:r>
        <w:t>SEIRD</w:t>
      </w:r>
      <w:r w:rsidRPr="00B20D67">
        <w:rPr>
          <w:lang w:val="ru-RU"/>
        </w:rPr>
        <w:t xml:space="preserve">-структуру с фиксированным </w:t>
      </w:r>
      <w:r>
        <w:t>α</w:t>
      </w:r>
      <w:r w:rsidRPr="00B20D67">
        <w:rPr>
          <w:lang w:val="ru-RU"/>
        </w:rPr>
        <w:t xml:space="preserve"> = 0,9 для одной волны в Индии, демонстрируя улучшение подгонки, однако без формального </w:t>
      </w:r>
      <w:r>
        <w:t>LRT</w:t>
      </w:r>
      <w:r w:rsidRPr="00B20D67">
        <w:rPr>
          <w:lang w:val="ru-RU"/>
        </w:rPr>
        <w:t xml:space="preserve">. Ли и </w:t>
      </w:r>
      <w:proofErr w:type="spellStart"/>
      <w:r w:rsidRPr="00B20D67">
        <w:rPr>
          <w:lang w:val="ru-RU"/>
        </w:rPr>
        <w:t>соавт</w:t>
      </w:r>
      <w:proofErr w:type="spellEnd"/>
      <w:r w:rsidRPr="00B20D67">
        <w:rPr>
          <w:lang w:val="ru-RU"/>
        </w:rPr>
        <w:t xml:space="preserve">. [16] — методологически наиболее близкая работа — систематически сравнивали пять компартментных структур (включая дробные варианты) посредством </w:t>
      </w:r>
      <w:proofErr w:type="spellStart"/>
      <w:r>
        <w:t>AICc</w:t>
      </w:r>
      <w:proofErr w:type="spellEnd"/>
      <w:r w:rsidRPr="00B20D67">
        <w:rPr>
          <w:lang w:val="ru-RU"/>
        </w:rPr>
        <w:t xml:space="preserve"> и </w:t>
      </w:r>
      <w:r>
        <w:t>BIC</w:t>
      </w:r>
      <w:r w:rsidRPr="00B20D67">
        <w:rPr>
          <w:lang w:val="ru-RU"/>
        </w:rPr>
        <w:t xml:space="preserve"> на китайских данных; их вывод о последовательном превосходстве дробных моделей согласуется с результатами волн 3, 7–10 в настоящем исследовании.</w:t>
      </w:r>
    </w:p>
    <w:p w14:paraId="65264395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Принципиальный вклад представленного исследования по отношению ко всем перечисленным работам состоит в трёх методологических решениях, принятых одновременно: (1) </w:t>
      </w:r>
      <w:proofErr w:type="spellStart"/>
      <w:r w:rsidRPr="00B20D67">
        <w:rPr>
          <w:lang w:val="ru-RU"/>
        </w:rPr>
        <w:t>поволновой</w:t>
      </w:r>
      <w:proofErr w:type="spellEnd"/>
      <w:r w:rsidRPr="00B20D67">
        <w:rPr>
          <w:lang w:val="ru-RU"/>
        </w:rPr>
        <w:t xml:space="preserve"> анализ с индивидуальным </w:t>
      </w:r>
      <w:r>
        <w:t>α</w:t>
      </w:r>
      <w:r w:rsidRPr="00B20D67">
        <w:rPr>
          <w:lang w:val="ru-RU"/>
        </w:rPr>
        <w:t>_</w:t>
      </w:r>
      <w:r>
        <w:t>k</w:t>
      </w:r>
      <w:r w:rsidRPr="00B20D67">
        <w:rPr>
          <w:lang w:val="ru-RU"/>
        </w:rPr>
        <w:t xml:space="preserve"> для каждой волны, а не единым </w:t>
      </w:r>
      <w:r>
        <w:t>α</w:t>
      </w:r>
      <w:r w:rsidRPr="00B20D67">
        <w:rPr>
          <w:lang w:val="ru-RU"/>
        </w:rPr>
        <w:t xml:space="preserve"> для всего периода; (2) фиксация </w:t>
      </w:r>
      <w:r>
        <w:t>σ</w:t>
      </w:r>
      <w:r w:rsidRPr="00B20D67">
        <w:rPr>
          <w:lang w:val="ru-RU"/>
        </w:rPr>
        <w:t xml:space="preserve"> и </w:t>
      </w:r>
      <w:r>
        <w:t>γ</w:t>
      </w:r>
      <w:r w:rsidRPr="00B20D67">
        <w:rPr>
          <w:lang w:val="ru-RU"/>
        </w:rPr>
        <w:t xml:space="preserve"> из </w:t>
      </w:r>
      <w:proofErr w:type="spellStart"/>
      <w:r w:rsidRPr="00B20D67">
        <w:rPr>
          <w:lang w:val="ru-RU"/>
        </w:rPr>
        <w:t>штаммовых</w:t>
      </w:r>
      <w:proofErr w:type="spellEnd"/>
      <w:r w:rsidRPr="00B20D67">
        <w:rPr>
          <w:lang w:val="ru-RU"/>
        </w:rPr>
        <w:t xml:space="preserve"> данных как содержательный </w:t>
      </w:r>
      <w:r>
        <w:t>prior</w:t>
      </w:r>
      <w:r w:rsidRPr="00B20D67">
        <w:rPr>
          <w:lang w:val="ru-RU"/>
        </w:rPr>
        <w:t xml:space="preserve">, а не подбираемые параметры; (3) применение </w:t>
      </w:r>
      <w:r>
        <w:t>LRT</w:t>
      </w:r>
      <w:r w:rsidRPr="00B20D67">
        <w:rPr>
          <w:lang w:val="ru-RU"/>
        </w:rPr>
        <w:t xml:space="preserve"> с поправкой </w:t>
      </w:r>
      <w:proofErr w:type="spellStart"/>
      <w:r w:rsidRPr="00B20D67">
        <w:rPr>
          <w:lang w:val="ru-RU"/>
        </w:rPr>
        <w:t>Бонферрони</w:t>
      </w:r>
      <w:proofErr w:type="spellEnd"/>
      <w:r w:rsidRPr="00B20D67">
        <w:rPr>
          <w:lang w:val="ru-RU"/>
        </w:rPr>
        <w:t xml:space="preserve"> на 10 волн, а не визуальное или одно</w:t>
      </w:r>
      <w:r>
        <w:t>c</w:t>
      </w:r>
      <w:proofErr w:type="spellStart"/>
      <w:r w:rsidRPr="00B20D67">
        <w:rPr>
          <w:lang w:val="ru-RU"/>
        </w:rPr>
        <w:t>татистическое</w:t>
      </w:r>
      <w:proofErr w:type="spellEnd"/>
      <w:r w:rsidRPr="00B20D67">
        <w:rPr>
          <w:lang w:val="ru-RU"/>
        </w:rPr>
        <w:t xml:space="preserve"> сравнение. Совокупность этих решений позволяет не просто констатировать преимущество дробной модели, но и локализовать это преимущество во времени — связать его с конкретными волнами и конкретным иммунологическим контекстом, — что является содержательно новым результатом, недостижимым ни в одной из цитируемых работ по отдельности.</w:t>
      </w:r>
    </w:p>
    <w:p w14:paraId="07FB9EE6" w14:textId="77777777" w:rsidR="00B53CAD" w:rsidRPr="00B20D67" w:rsidRDefault="00B53CAD" w:rsidP="00B53CAD">
      <w:pPr>
        <w:pStyle w:val="3"/>
        <w:rPr>
          <w:lang w:val="ru-RU"/>
        </w:rPr>
      </w:pPr>
      <w:bookmarkStart w:id="12" w:name="X0c277a591c2d416f11556c37361ef88ba5067e0"/>
      <w:bookmarkEnd w:id="11"/>
      <w:r w:rsidRPr="00B20D67">
        <w:rPr>
          <w:lang w:val="ru-RU"/>
        </w:rPr>
        <w:t xml:space="preserve">4.2.5 Роль выбора функции потерь и её влияние на </w:t>
      </w:r>
      <w:r>
        <w:t>α</w:t>
      </w:r>
      <w:r w:rsidRPr="00B20D67">
        <w:rPr>
          <w:lang w:val="ru-RU"/>
        </w:rPr>
        <w:t>_</w:t>
      </w:r>
      <w:r>
        <w:t>k</w:t>
      </w:r>
    </w:p>
    <w:p w14:paraId="5B0B8304" w14:textId="77777777" w:rsidR="00B53CAD" w:rsidRPr="00B20D67" w:rsidRDefault="00B53CAD" w:rsidP="00B53CAD">
      <w:pPr>
        <w:pStyle w:val="af5"/>
        <w:rPr>
          <w:lang w:val="ru-RU"/>
        </w:rPr>
      </w:pPr>
      <w:r w:rsidRPr="00B20D67">
        <w:rPr>
          <w:lang w:val="ru-RU"/>
        </w:rPr>
        <w:t xml:space="preserve">Использование </w:t>
      </w:r>
      <w:r>
        <w:t>log</w:t>
      </w:r>
      <w:r w:rsidRPr="00B20D67">
        <w:rPr>
          <w:lang w:val="ru-RU"/>
        </w:rPr>
        <w:t>-</w:t>
      </w:r>
      <w:r>
        <w:t>MSE</w:t>
      </w:r>
      <w:r w:rsidRPr="00B20D67">
        <w:rPr>
          <w:lang w:val="ru-RU"/>
        </w:rPr>
        <w:t xml:space="preserve"> в качестве целевого функционала вместо обычного </w:t>
      </w:r>
      <w:r>
        <w:t>MSE</w:t>
      </w:r>
      <w:r w:rsidRPr="00B20D67">
        <w:rPr>
          <w:lang w:val="ru-RU"/>
        </w:rPr>
        <w:t xml:space="preserve"> или </w:t>
      </w:r>
      <w:r>
        <w:t>MSE</w:t>
      </w:r>
      <w:r w:rsidRPr="00B20D67">
        <w:rPr>
          <w:lang w:val="ru-RU"/>
        </w:rPr>
        <w:t xml:space="preserve"> смертности является самостоятельным методологическим решением, влияющим на оценку </w:t>
      </w:r>
      <w:r>
        <w:t>α</w:t>
      </w:r>
      <w:r>
        <w:rPr>
          <w:i/>
          <w:iCs/>
        </w:rPr>
        <w:t>k</w:t>
      </w:r>
      <w:r w:rsidRPr="00B20D67">
        <w:rPr>
          <w:i/>
          <w:iCs/>
          <w:lang w:val="ru-RU"/>
        </w:rPr>
        <w:t xml:space="preserve">. </w:t>
      </w:r>
      <w:r>
        <w:rPr>
          <w:i/>
          <w:iCs/>
        </w:rPr>
        <w:t>Log</w:t>
      </w:r>
      <w:r w:rsidRPr="00B20D67">
        <w:rPr>
          <w:i/>
          <w:iCs/>
          <w:lang w:val="ru-RU"/>
        </w:rPr>
        <w:t>-</w:t>
      </w:r>
      <w:r>
        <w:rPr>
          <w:i/>
          <w:iCs/>
        </w:rPr>
        <w:t>MSE</w:t>
      </w:r>
      <w:r w:rsidRPr="00B20D67">
        <w:rPr>
          <w:i/>
          <w:iCs/>
          <w:lang w:val="ru-RU"/>
        </w:rPr>
        <w:t xml:space="preserve"> балансирует вклад фазы роста, пика и спада, предотвращая концентрацию оптимизации на пиковых значениях. Поскольку параметр </w:t>
      </w:r>
      <w:r>
        <w:rPr>
          <w:i/>
          <w:iCs/>
        </w:rPr>
        <w:t>α</w:t>
      </w:r>
      <w:r>
        <w:t>k</w:t>
      </w:r>
      <w:r w:rsidRPr="00B20D67">
        <w:rPr>
          <w:lang w:val="ru-RU"/>
        </w:rPr>
        <w:t xml:space="preserve"> в первую очередь управляет формой нисходящей ветви (раздел 3.3.2), применение </w:t>
      </w:r>
      <w:r>
        <w:t>log</w:t>
      </w:r>
      <w:r w:rsidRPr="00B20D67">
        <w:rPr>
          <w:lang w:val="ru-RU"/>
        </w:rPr>
        <w:t>-</w:t>
      </w:r>
      <w:r>
        <w:t>MSE</w:t>
      </w:r>
      <w:r w:rsidRPr="00B20D67">
        <w:rPr>
          <w:lang w:val="ru-RU"/>
        </w:rPr>
        <w:t xml:space="preserve"> обеспечивает достаточный «вес» хвостовой части волны в функции потерь и тем самым повышает идентифицируемость </w:t>
      </w:r>
      <w:r>
        <w:t>α</w:t>
      </w:r>
      <w:r>
        <w:rPr>
          <w:i/>
          <w:iCs/>
        </w:rPr>
        <w:t>k</w:t>
      </w:r>
      <w:r w:rsidRPr="00B20D67">
        <w:rPr>
          <w:i/>
          <w:iCs/>
          <w:lang w:val="ru-RU"/>
        </w:rPr>
        <w:t xml:space="preserve"> по сравнению с тем, что давало бы обычное </w:t>
      </w:r>
      <w:r>
        <w:rPr>
          <w:i/>
          <w:iCs/>
        </w:rPr>
        <w:t>MSE</w:t>
      </w:r>
      <w:r w:rsidRPr="00B20D67">
        <w:rPr>
          <w:i/>
          <w:iCs/>
          <w:lang w:val="ru-RU"/>
        </w:rPr>
        <w:t xml:space="preserve">. Альтернативный выбор — например, </w:t>
      </w:r>
      <w:r>
        <w:rPr>
          <w:i/>
          <w:iCs/>
        </w:rPr>
        <w:t>MSE</w:t>
      </w:r>
      <w:r w:rsidRPr="00B20D67">
        <w:rPr>
          <w:i/>
          <w:iCs/>
          <w:lang w:val="ru-RU"/>
        </w:rPr>
        <w:t xml:space="preserve"> на исходной шкале с дополнительным штрафом за ошибку смертности — привёл бы к смещению оценки </w:t>
      </w:r>
      <w:r>
        <w:rPr>
          <w:i/>
          <w:iCs/>
        </w:rPr>
        <w:t>α</w:t>
      </w:r>
      <w:r>
        <w:t>k</w:t>
      </w:r>
      <w:r w:rsidRPr="00B20D67">
        <w:rPr>
          <w:lang w:val="ru-RU"/>
        </w:rPr>
        <w:t xml:space="preserve"> в сторону единицы на волнах с высокой интенсивностью пика и </w:t>
      </w:r>
      <w:r w:rsidRPr="00B20D67">
        <w:rPr>
          <w:lang w:val="ru-RU"/>
        </w:rPr>
        <w:lastRenderedPageBreak/>
        <w:t xml:space="preserve">малым спадом. Таким образом, оцениваемый параметр </w:t>
      </w:r>
      <w:r>
        <w:t>α</w:t>
      </w:r>
      <w:r w:rsidRPr="00B20D67">
        <w:rPr>
          <w:lang w:val="ru-RU"/>
        </w:rPr>
        <w:t>_</w:t>
      </w:r>
      <w:r>
        <w:t>k</w:t>
      </w:r>
      <w:r w:rsidRPr="00B20D67">
        <w:rPr>
          <w:lang w:val="ru-RU"/>
        </w:rPr>
        <w:t xml:space="preserve"> следует интерпретировать именно как характеристику относительной формы волны в логарифмическом масштабе, а не как абсолютную характеристику скорости изменений в исходном масштабе.</w:t>
      </w:r>
    </w:p>
    <w:p w14:paraId="0A0D2B25" w14:textId="77777777" w:rsidR="00866632" w:rsidRPr="000271D2" w:rsidRDefault="00866632" w:rsidP="00866632">
      <w:pPr>
        <w:pStyle w:val="2"/>
        <w:rPr>
          <w:lang w:val="ru-RU"/>
        </w:rPr>
      </w:pPr>
      <w:bookmarkStart w:id="13" w:name="Xb11f04314ba6d95cee0e23c92b9a07e208414b5"/>
      <w:bookmarkEnd w:id="7"/>
      <w:bookmarkEnd w:id="12"/>
      <w:r w:rsidRPr="000271D2">
        <w:rPr>
          <w:lang w:val="ru-RU"/>
        </w:rPr>
        <w:t>4.3 Практические следствия для эпидемиологического надзора</w:t>
      </w:r>
    </w:p>
    <w:p w14:paraId="363CE51C" w14:textId="77777777" w:rsidR="00866632" w:rsidRPr="000271D2" w:rsidRDefault="00866632" w:rsidP="00866632">
      <w:pPr>
        <w:pStyle w:val="3"/>
        <w:rPr>
          <w:lang w:val="ru-RU"/>
        </w:rPr>
      </w:pPr>
      <w:bookmarkStart w:id="14" w:name="X62a90a35e54a9998a1defe9803a1e5748819494"/>
      <w:r w:rsidRPr="000271D2">
        <w:rPr>
          <w:lang w:val="ru-RU"/>
        </w:rPr>
        <w:t>4.3.1 Применимость конвейера к стандартным данным Роспотребнадзора</w:t>
      </w:r>
    </w:p>
    <w:p w14:paraId="592E45A0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Центральным практическим результатом настоящего исследования является демонстрация того, что полный цикл ретроспективного </w:t>
      </w:r>
      <w:proofErr w:type="spellStart"/>
      <w:r w:rsidRPr="000271D2">
        <w:rPr>
          <w:lang w:val="ru-RU"/>
        </w:rPr>
        <w:t>поволнового</w:t>
      </w:r>
      <w:proofErr w:type="spellEnd"/>
      <w:r w:rsidRPr="000271D2">
        <w:rPr>
          <w:lang w:val="ru-RU"/>
        </w:rPr>
        <w:t xml:space="preserve"> анализа — от сырых файлов государственной отчётности до формально сравниваемых моделей — выполним без привлечения какого-либо источника данных сверх тех, что доступны в любом региональном управлении Роспотребнадзора. Использованные файлы (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lang w:val="ru-RU"/>
              </w:rPr>
              <m:t>ВП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2024</m:t>
            </m:r>
            <m:r>
              <m:rPr>
                <m:nor/>
              </m:rPr>
              <w:rPr>
                <w:rFonts w:ascii="Cambria Math" w:hAnsi="Cambria Math"/>
                <w:lang w:val="ru-RU"/>
              </w:rPr>
              <m:t>–</m:t>
            </m:r>
            <m:r>
              <w:rPr>
                <w:rFonts w:ascii="Cambria Math" w:hAnsi="Cambria Math"/>
                <w:lang w:val="ru-RU"/>
              </w:rPr>
              <m:t>2025</m:t>
            </m:r>
          </m:sub>
        </m:sSub>
      </m:oMath>
      <w:r w:rsidRPr="000271D2">
        <w:rPr>
          <w:lang w:val="ru-RU"/>
        </w:rPr>
        <w:t>.</w:t>
      </w:r>
      <w:r>
        <w:t>xlsx</w:t>
      </w:r>
      <w:r w:rsidRPr="000271D2">
        <w:rPr>
          <w:lang w:val="ru-RU"/>
        </w:rPr>
        <w:t xml:space="preserve"> и ежедневные сводки </w:t>
      </w:r>
      <w:r>
        <w:t>COVID</w:t>
      </w:r>
      <w:r w:rsidRPr="000271D2">
        <w:rPr>
          <w:lang w:val="ru-RU"/>
        </w:rPr>
        <w:t>-19) представляют собой стандартные формы федерального статистического наблюдения; аналогичные по структуре файлы ведутся для всех субъектов РФ и большинства субъектов доступны либо в рамках информационного обмена, либо в открытом доступе. Это означает, что методология настоящей работы без принципиальной модификации переносима на любой российский город с населением от 50 000 человек и выше: ключевое условие применимости — наличие непрерывного ежедневного ряда заболеваемости с достаточно малой долей пропусков (</w:t>
      </w:r>
      <m:oMath>
        <m:r>
          <w:rPr>
            <w:rFonts w:ascii="Cambria Math" w:hAnsi="Cambria Math"/>
            <w:lang w:val="ru-RU"/>
          </w:rPr>
          <m:t>&lt; 25</m:t>
        </m:r>
      </m:oMath>
      <w:r w:rsidRPr="000271D2">
        <w:rPr>
          <w:lang w:val="ru-RU"/>
        </w:rPr>
        <w:t>%) хотя бы по одной волне.</w:t>
      </w:r>
    </w:p>
    <w:p w14:paraId="5F31FEE3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Конвейер предобработки (кубическая сплайн-интерполяция, гауссово сглаживание, автоматическая разметка волн) и конвейер калибровки (аналитическое </w:t>
      </w:r>
      <w:proofErr w:type="spellStart"/>
      <w:r w:rsidRPr="000271D2">
        <w:rPr>
          <w:lang w:val="ru-RU"/>
        </w:rPr>
        <w:t>предобусловливание</w:t>
      </w:r>
      <w:proofErr w:type="spellEnd"/>
      <w:r w:rsidRPr="000271D2">
        <w:rPr>
          <w:lang w:val="ru-RU"/>
        </w:rPr>
        <w:t xml:space="preserve"> → сеточный поиск → </w:t>
      </w:r>
      <w:proofErr w:type="spellStart"/>
      <w:r>
        <w:t>NelderMead</w:t>
      </w:r>
      <w:proofErr w:type="spellEnd"/>
      <w:r w:rsidRPr="000271D2">
        <w:rPr>
          <w:lang w:val="ru-RU"/>
        </w:rPr>
        <w:t xml:space="preserve"> → </w:t>
      </w:r>
      <w:r>
        <w:t>L</w:t>
      </w:r>
      <w:r w:rsidRPr="000271D2">
        <w:rPr>
          <w:lang w:val="ru-RU"/>
        </w:rPr>
        <w:t>-</w:t>
      </w:r>
      <w:r>
        <w:t>BFGS</w:t>
      </w:r>
      <w:r w:rsidRPr="000271D2">
        <w:rPr>
          <w:lang w:val="ru-RU"/>
        </w:rPr>
        <w:t xml:space="preserve"> → </w:t>
      </w:r>
      <w:r>
        <w:t>GL</w:t>
      </w:r>
      <w:r w:rsidRPr="000271D2">
        <w:rPr>
          <w:lang w:val="ru-RU"/>
        </w:rPr>
        <w:t xml:space="preserve">-интегратор) реализованы в </w:t>
      </w:r>
      <w:r>
        <w:t>Julia</w:t>
      </w:r>
      <w:r w:rsidRPr="000271D2">
        <w:rPr>
          <w:lang w:val="ru-RU"/>
        </w:rPr>
        <w:t xml:space="preserve"> с фиксированными зависимостями и воспроизводимы при наличии таблицы параметров штаммов </w:t>
      </w:r>
      <w:r>
        <w:rPr>
          <w:rStyle w:val="VerbatimChar"/>
        </w:rPr>
        <w:t>covid</w:t>
      </w:r>
      <w:r w:rsidRPr="000271D2">
        <w:rPr>
          <w:rStyle w:val="VerbatimChar"/>
          <w:lang w:val="ru-RU"/>
        </w:rPr>
        <w:t>19_</w:t>
      </w:r>
      <w:proofErr w:type="spellStart"/>
      <w:r>
        <w:rPr>
          <w:rStyle w:val="VerbatimChar"/>
        </w:rPr>
        <w:t>seird</w:t>
      </w:r>
      <w:proofErr w:type="spellEnd"/>
      <w:r w:rsidRPr="000271D2">
        <w:rPr>
          <w:rStyle w:val="VerbatimChar"/>
          <w:lang w:val="ru-RU"/>
        </w:rPr>
        <w:t>_</w:t>
      </w:r>
      <w:r>
        <w:rPr>
          <w:rStyle w:val="VerbatimChar"/>
        </w:rPr>
        <w:t>params</w:t>
      </w:r>
      <w:r w:rsidRPr="000271D2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0271D2">
        <w:rPr>
          <w:lang w:val="ru-RU"/>
        </w:rPr>
        <w:t xml:space="preserve">, которая в рамках настоящей публикации будет предоставлена в открытом доступе. Таким образом, основным </w:t>
      </w:r>
      <w:proofErr w:type="spellStart"/>
      <w:r w:rsidRPr="000271D2">
        <w:rPr>
          <w:lang w:val="ru-RU"/>
        </w:rPr>
        <w:t>нетиражируемым</w:t>
      </w:r>
      <w:proofErr w:type="spellEnd"/>
      <w:r w:rsidRPr="000271D2">
        <w:rPr>
          <w:lang w:val="ru-RU"/>
        </w:rPr>
        <w:t xml:space="preserve"> ресурсом остаются лишь исходные данные надзора — и именно снижение требований к данным составляет ключевую практическую ценность подхода.</w:t>
      </w:r>
    </w:p>
    <w:p w14:paraId="1C0C3CA8" w14:textId="77777777" w:rsidR="00866632" w:rsidRPr="000271D2" w:rsidRDefault="00866632" w:rsidP="00866632">
      <w:pPr>
        <w:pStyle w:val="3"/>
        <w:rPr>
          <w:lang w:val="ru-RU"/>
        </w:rPr>
      </w:pPr>
      <w:bookmarkStart w:id="15" w:name="Xe91a8450f9bdaca03402518a223ba16841ee260"/>
      <w:bookmarkEnd w:id="14"/>
      <w:r w:rsidRPr="000271D2">
        <w:rPr>
          <w:lang w:val="ru-RU"/>
        </w:rPr>
        <w:t xml:space="preserve">4.3.2 </w:t>
      </w:r>
      <w:r>
        <w:t>α</w:t>
      </w:r>
      <w:r w:rsidRPr="000271D2">
        <w:rPr>
          <w:lang w:val="ru-RU"/>
        </w:rPr>
        <w:t>_</w:t>
      </w:r>
      <w:r>
        <w:t>k</w:t>
      </w:r>
      <w:r w:rsidRPr="000271D2">
        <w:rPr>
          <w:lang w:val="ru-RU"/>
        </w:rPr>
        <w:t xml:space="preserve"> как опережающий индикатор нагрузки на систему здравоохранения</w:t>
      </w:r>
    </w:p>
    <w:p w14:paraId="1C7FCBFB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Если интерпретация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&lt;1</m:t>
        </m:r>
      </m:oMath>
      <w:r w:rsidRPr="000271D2">
        <w:rPr>
          <w:i/>
          <w:iCs/>
          <w:lang w:val="ru-RU"/>
        </w:rPr>
        <w:t xml:space="preserve"> как маркера субдиффузионной динамики верна, то практическое следствие состоит в следующем: значение </w:t>
      </w:r>
      <w:r>
        <w:rPr>
          <w:i/>
          <w:iCs/>
        </w:rPr>
        <w:t>α</w:t>
      </w:r>
      <w:r>
        <w:t>k</w:t>
      </w:r>
      <w:r w:rsidRPr="000271D2">
        <w:rPr>
          <w:lang w:val="ru-RU"/>
        </w:rPr>
        <w:t xml:space="preserve">, оценённое по первым 14–21 дням восходящей ветви текущей волны, позволяет прогнозировать </w:t>
      </w:r>
      <w:r w:rsidRPr="000271D2">
        <w:rPr>
          <w:lang w:val="ru-RU"/>
        </w:rPr>
        <w:lastRenderedPageBreak/>
        <w:t xml:space="preserve">форму её спада — в частности, ожидаемую длительность фазы убывания и суммарную нагрузку за пределами пика. Для целей планирования коечного фонда, кадрового обеспечения и лекарственного снабжения эта информация критически важна: разница в форме спада между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=0,95</m:t>
        </m:r>
      </m:oMath>
      <w:r w:rsidRPr="000271D2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=0,70</m:t>
        </m:r>
      </m:oMath>
      <w:r w:rsidRPr="000271D2">
        <w:rPr>
          <w:lang w:val="ru-RU"/>
        </w:rPr>
        <w:t xml:space="preserve"> соответствует разнице в длительности периода повышенной нагрузки в несколько недель.</w:t>
      </w:r>
    </w:p>
    <w:p w14:paraId="6DC11294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Перспектива оперативного применения </w:t>
      </w:r>
      <w:r>
        <w:t>αk</w:t>
      </w:r>
      <w:r w:rsidRPr="000271D2">
        <w:rPr>
          <w:lang w:val="ru-RU"/>
        </w:rPr>
        <w:t xml:space="preserve"> в рамках еженедельного мониторинга заслуживает отдельного рассмотрения. При наличии скользящего окна наблюдений длиной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271D2">
        <w:rPr>
          <w:lang w:val="ru-RU"/>
        </w:rPr>
        <w:t xml:space="preserve"> (например, 21 день) и условии стационарности штаммового контекста в пределах этого окна возможна оценка «текущего» </w:t>
      </w:r>
      <w:r>
        <w:t>α</w:t>
      </w:r>
      <w:r w:rsidRPr="000271D2">
        <w:rPr>
          <w:lang w:val="ru-RU"/>
        </w:rPr>
        <w:t xml:space="preserve"> по частичному ряду с последующей экстраполяцией формы волны. Качество такой оценки в условиях реального надзора — с нестационарными задержками регистрации и </w:t>
      </w:r>
      <w:proofErr w:type="spellStart"/>
      <w:r w:rsidRPr="000271D2">
        <w:rPr>
          <w:lang w:val="ru-RU"/>
        </w:rPr>
        <w:t>рапортингом</w:t>
      </w:r>
      <w:proofErr w:type="spellEnd"/>
      <w:r w:rsidRPr="000271D2">
        <w:rPr>
          <w:lang w:val="ru-RU"/>
        </w:rPr>
        <w:t xml:space="preserve"> в рамках недели — требует специального исследования, однако первичный анализ чувствительности для данных Пскова (не включённый в настоящую публикацию) показывает, что стабилизация оценки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271D2">
        <w:rPr>
          <w:lang w:val="ru-RU"/>
        </w:rPr>
        <w:t xml:space="preserve"> относительно окончательного значения происходит приблизительно к 14-му дню после пика, что делает прогностическое применение принципиально реализуемым.</w:t>
      </w:r>
    </w:p>
    <w:p w14:paraId="22F2B306" w14:textId="77777777" w:rsidR="00866632" w:rsidRPr="000271D2" w:rsidRDefault="00866632" w:rsidP="00866632">
      <w:pPr>
        <w:pStyle w:val="3"/>
        <w:rPr>
          <w:lang w:val="ru-RU"/>
        </w:rPr>
      </w:pPr>
      <w:bookmarkStart w:id="16" w:name="X6dc98b2399e6eca8ea594efb58de453c1de3782"/>
      <w:bookmarkEnd w:id="15"/>
      <w:r w:rsidRPr="000271D2">
        <w:rPr>
          <w:lang w:val="ru-RU"/>
        </w:rPr>
        <w:t>4.3.3 Межрегиональный мониторинг иммунного фона</w:t>
      </w:r>
    </w:p>
    <w:p w14:paraId="53CABF60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Если предложенный подход будет верифицирован на данных нескольких регионов с различным </w:t>
      </w:r>
      <w:proofErr w:type="spellStart"/>
      <w:r w:rsidRPr="000271D2">
        <w:rPr>
          <w:lang w:val="ru-RU"/>
        </w:rPr>
        <w:t>вакцинационным</w:t>
      </w:r>
      <w:proofErr w:type="spellEnd"/>
      <w:r w:rsidRPr="000271D2">
        <w:rPr>
          <w:lang w:val="ru-RU"/>
        </w:rPr>
        <w:t xml:space="preserve"> охватом и историей волн, то систематическое картирование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271D2">
        <w:rPr>
          <w:i/>
          <w:iCs/>
          <w:lang w:val="ru-RU"/>
        </w:rPr>
        <w:t xml:space="preserve"> по субъектам РФ откроет возможность косвенного мониторинга популяционного иммунного фона на основе стандартных данных надзора — без серологических исследований, которые в России проводятся нерегулярно и не во всех регионах. В частности, регионы с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</m:oMath>
      <w:r w:rsidRPr="000271D2">
        <w:rPr>
          <w:lang w:val="ru-RU"/>
        </w:rPr>
        <w:t xml:space="preserve"> в поздних волнах могут свидетельствовать либо о начале нового субварианта с выраженным иммунным уклонением (аналог Омикрон </w:t>
      </w:r>
      <w:r>
        <w:t>BA</w:t>
      </w:r>
      <w:r w:rsidRPr="000271D2">
        <w:rPr>
          <w:lang w:val="ru-RU"/>
        </w:rPr>
        <w:t xml:space="preserve">.1, волна 4 в настоящем исследовании), либо о реальной иммунологической «наивности» в результате пониженного охвата предшествующими волнами и вакцинацией. Разграничение этих сценариев потребует дополнительных данных, однако само по себе пространственное распределение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271D2">
        <w:rPr>
          <w:lang w:val="ru-RU"/>
        </w:rPr>
        <w:t xml:space="preserve"> представляет самостоятельный аналитический продукт, который может формироваться из уже существующих потоков отчётности.</w:t>
      </w:r>
    </w:p>
    <w:p w14:paraId="241CA9AE" w14:textId="77777777" w:rsidR="00866632" w:rsidRPr="000271D2" w:rsidRDefault="00866632" w:rsidP="00866632">
      <w:pPr>
        <w:pStyle w:val="3"/>
        <w:rPr>
          <w:lang w:val="ru-RU"/>
        </w:rPr>
      </w:pPr>
      <w:bookmarkStart w:id="17" w:name="X8e8934051d8e697893c92b66dfca8532b19d8af"/>
      <w:bookmarkEnd w:id="16"/>
      <w:r w:rsidRPr="000271D2">
        <w:rPr>
          <w:lang w:val="ru-RU"/>
        </w:rPr>
        <w:t xml:space="preserve">4.3.4 Ограничения </w:t>
      </w:r>
      <w:proofErr w:type="spellStart"/>
      <w:r w:rsidRPr="000271D2">
        <w:rPr>
          <w:lang w:val="ru-RU"/>
        </w:rPr>
        <w:t>операционального</w:t>
      </w:r>
      <w:proofErr w:type="spellEnd"/>
      <w:r w:rsidRPr="000271D2">
        <w:rPr>
          <w:lang w:val="ru-RU"/>
        </w:rPr>
        <w:t xml:space="preserve"> использования</w:t>
      </w:r>
    </w:p>
    <w:p w14:paraId="7AA64FF3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Перенос предложенного подхода из ретроспективного анализа в режим текущего надзора сопряжён с рядом практических ограничений, которые необходимо принять во внимание. Во-первых, алгоритм автоматической разметки волн требует наличия достаточно длинного сглаженного ряда для устойчивой оценки </w:t>
      </w:r>
      <w:r w:rsidRPr="000271D2">
        <w:rPr>
          <w:lang w:val="ru-RU"/>
        </w:rPr>
        <w:lastRenderedPageBreak/>
        <w:t xml:space="preserve">знака первой производной: в начале новой волны, когда ряд насчитывает лишь 10–14 дней, границы волны не могут быть определены надёжно. Во-вторых, биологическая привязка </w:t>
      </w:r>
      <w:r>
        <w:t>σ</w:t>
      </w:r>
      <w:r w:rsidRPr="000271D2">
        <w:rPr>
          <w:lang w:val="ru-RU"/>
        </w:rPr>
        <w:t xml:space="preserve"> и </w:t>
      </w:r>
      <w:r>
        <w:t>γ</w:t>
      </w:r>
      <w:r w:rsidRPr="000271D2">
        <w:rPr>
          <w:lang w:val="ru-RU"/>
        </w:rPr>
        <w:t xml:space="preserve"> к доминирующему варианту предполагает оперативную идентификацию этого варианта — задачу, которая в условиях региональных систем надзора решается с задержкой в несколько недель относительно появления нового </w:t>
      </w:r>
      <w:proofErr w:type="spellStart"/>
      <w:r w:rsidRPr="000271D2">
        <w:rPr>
          <w:lang w:val="ru-RU"/>
        </w:rPr>
        <w:t>субварианта</w:t>
      </w:r>
      <w:proofErr w:type="spellEnd"/>
      <w:r w:rsidRPr="000271D2">
        <w:rPr>
          <w:lang w:val="ru-RU"/>
        </w:rPr>
        <w:t xml:space="preserve">. В-третьих, оптимизационный конвейер с 15 стартами </w:t>
      </w:r>
      <w:proofErr w:type="spellStart"/>
      <w:r>
        <w:t>NelderMead</w:t>
      </w:r>
      <w:proofErr w:type="spellEnd"/>
      <w:r w:rsidRPr="000271D2">
        <w:rPr>
          <w:lang w:val="ru-RU"/>
        </w:rPr>
        <w:t xml:space="preserve"> и до 10 000 итерациями </w:t>
      </w:r>
      <w:r>
        <w:t>L</w:t>
      </w:r>
      <w:r w:rsidRPr="000271D2">
        <w:rPr>
          <w:lang w:val="ru-RU"/>
        </w:rPr>
        <w:t>-</w:t>
      </w:r>
      <w:r>
        <w:t>BFGS</w:t>
      </w:r>
      <w:r w:rsidRPr="000271D2">
        <w:rPr>
          <w:lang w:val="ru-RU"/>
        </w:rPr>
        <w:t xml:space="preserve"> требует автоматизированного контроля сходимости, поскольку в оперативном режиме нет возможности ручной верификации каждого результата.</w:t>
      </w:r>
    </w:p>
    <w:p w14:paraId="59561204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Эти ограничения не являются принципиально непреодолимыми: для каждого из них существуют технические решения (ранняя остановка разметки волн по порогу абсолютного числа случаев; использование «предположительного» варианта на основе общегеографического календаря доминирования; автоматизированный флаг проверки сходимости по кратности прогонов с независимыми стартами). Разработка оперативной версии конвейера с этими расширениями представляется реалистичной задачей в рамках одного-двух </w:t>
      </w:r>
      <w:proofErr w:type="spellStart"/>
      <w:r w:rsidRPr="000271D2">
        <w:rPr>
          <w:lang w:val="ru-RU"/>
        </w:rPr>
        <w:t>человеколет</w:t>
      </w:r>
      <w:proofErr w:type="spellEnd"/>
      <w:r w:rsidRPr="000271D2">
        <w:rPr>
          <w:lang w:val="ru-RU"/>
        </w:rPr>
        <w:t xml:space="preserve"> прикладной разработки.</w:t>
      </w:r>
    </w:p>
    <w:p w14:paraId="55FDFD4B" w14:textId="77777777" w:rsidR="00866632" w:rsidRPr="000271D2" w:rsidRDefault="00866632" w:rsidP="00866632">
      <w:pPr>
        <w:pStyle w:val="3"/>
        <w:rPr>
          <w:lang w:val="ru-RU"/>
        </w:rPr>
      </w:pPr>
      <w:bookmarkStart w:id="18" w:name="X1446ddb38e58e7d3e0b35f2a52d3e72a9448d2a"/>
      <w:bookmarkEnd w:id="17"/>
      <w:r w:rsidRPr="000271D2">
        <w:rPr>
          <w:lang w:val="ru-RU"/>
        </w:rPr>
        <w:t>4.3.5 Включение в систему поддержки принятия решений</w:t>
      </w:r>
    </w:p>
    <w:p w14:paraId="0BEAF7EC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В более широком контексте государственного санитарно-эпидемиологического надзора предложенная методология занимает нишу инструментов среднесрочного анализа — между оперативными </w:t>
      </w:r>
      <w:proofErr w:type="spellStart"/>
      <w:r w:rsidRPr="000271D2">
        <w:rPr>
          <w:lang w:val="ru-RU"/>
        </w:rPr>
        <w:t>дашбордами</w:t>
      </w:r>
      <w:proofErr w:type="spellEnd"/>
      <w:r w:rsidRPr="000271D2">
        <w:rPr>
          <w:lang w:val="ru-RU"/>
        </w:rPr>
        <w:t xml:space="preserve"> суточной заболеваемости и долгосрочными демографическими прогнозами. Её характерное время — от одной до нескольких недель после идентификации пика волны — соответствует горизонту принятия решений о режиме работы первичного звена здравоохранения, введении или отмене дополнительных ставок в стационарах и </w:t>
      </w:r>
      <w:proofErr w:type="spellStart"/>
      <w:r w:rsidRPr="000271D2">
        <w:rPr>
          <w:lang w:val="ru-RU"/>
        </w:rPr>
        <w:t>приоритизации</w:t>
      </w:r>
      <w:proofErr w:type="spellEnd"/>
      <w:r w:rsidRPr="000271D2">
        <w:rPr>
          <w:lang w:val="ru-RU"/>
        </w:rPr>
        <w:t xml:space="preserve"> </w:t>
      </w:r>
      <w:proofErr w:type="spellStart"/>
      <w:r w:rsidRPr="000271D2">
        <w:rPr>
          <w:lang w:val="ru-RU"/>
        </w:rPr>
        <w:t>вакцинационных</w:t>
      </w:r>
      <w:proofErr w:type="spellEnd"/>
      <w:r w:rsidRPr="000271D2">
        <w:rPr>
          <w:lang w:val="ru-RU"/>
        </w:rPr>
        <w:t xml:space="preserve"> кампаний. Формализованный вывод о значимом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&lt;1</m:t>
        </m:r>
      </m:oMath>
      <w:r w:rsidRPr="000271D2">
        <w:rPr>
          <w:lang w:val="ru-RU"/>
        </w:rPr>
        <w:t xml:space="preserve"> может служить количественным подтверждением тезиса о том, что текущая волна развивается в условиях выраженного популяционного иммунитета — тезиса, влияющего как на оценку ожидаемой тяжести, так и на интерпретацию наблюдаемых клинических тенденций в рамках регионального здравоохранения.</w:t>
      </w:r>
    </w:p>
    <w:p w14:paraId="5035CBC3" w14:textId="77777777" w:rsidR="00866632" w:rsidRPr="000271D2" w:rsidRDefault="00866632" w:rsidP="00866632">
      <w:pPr>
        <w:pStyle w:val="af5"/>
        <w:rPr>
          <w:lang w:val="ru-RU"/>
        </w:rPr>
      </w:pPr>
      <w:r w:rsidRPr="000271D2">
        <w:rPr>
          <w:lang w:val="ru-RU"/>
        </w:rPr>
        <w:t xml:space="preserve">Следует, тем не менее, подчеркнуть: любое </w:t>
      </w:r>
      <w:proofErr w:type="spellStart"/>
      <w:r w:rsidRPr="000271D2">
        <w:rPr>
          <w:lang w:val="ru-RU"/>
        </w:rPr>
        <w:t>операциональное</w:t>
      </w:r>
      <w:proofErr w:type="spellEnd"/>
      <w:r w:rsidRPr="000271D2">
        <w:rPr>
          <w:lang w:val="ru-RU"/>
        </w:rPr>
        <w:t xml:space="preserve"> использование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271D2">
        <w:rPr>
          <w:lang w:val="ru-RU"/>
        </w:rPr>
        <w:t xml:space="preserve"> должно сопровождаться явным указанием на феноменологический характер данного параметра и ограниченность его интерпретируемости в отсутствие независимых иммунологических данных (раздел 3.5.5). Включение модельных оценок в документы органов здравоохранения без надлежащей фиксации неопределённости и без системы последующей верификации несёт риск ложного ощущения количественной определённости там, где её нет.</w:t>
      </w:r>
    </w:p>
    <w:p w14:paraId="2AE55401" w14:textId="77777777" w:rsidR="003666D1" w:rsidRPr="005614E1" w:rsidRDefault="003666D1" w:rsidP="003666D1">
      <w:pPr>
        <w:pStyle w:val="2"/>
        <w:rPr>
          <w:lang w:val="ru-RU"/>
        </w:rPr>
      </w:pPr>
      <w:bookmarkStart w:id="19" w:name="Xd9ad315d508c6031b6fdeddf4e064d1a55eb0a5"/>
      <w:bookmarkEnd w:id="13"/>
      <w:bookmarkEnd w:id="18"/>
      <w:r w:rsidRPr="005614E1">
        <w:rPr>
          <w:lang w:val="ru-RU"/>
        </w:rPr>
        <w:lastRenderedPageBreak/>
        <w:t>4.4 Ограничения исследования и направления будущих исследований</w:t>
      </w:r>
    </w:p>
    <w:p w14:paraId="3AD463AF" w14:textId="77777777" w:rsidR="003666D1" w:rsidRPr="005614E1" w:rsidRDefault="003666D1" w:rsidP="003666D1">
      <w:pPr>
        <w:pStyle w:val="3"/>
        <w:rPr>
          <w:lang w:val="ru-RU"/>
        </w:rPr>
      </w:pPr>
      <w:bookmarkStart w:id="20" w:name="Xa5a3cef49062f2299172397ba7279cd9776591b"/>
      <w:r w:rsidRPr="005614E1">
        <w:rPr>
          <w:lang w:val="ru-RU"/>
        </w:rPr>
        <w:t>4.4.1 Ограничения данных: занижение регистрируемой заболеваемости</w:t>
      </w:r>
    </w:p>
    <w:p w14:paraId="010108B2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Фундаментальным ограничением настоящего исследования является системный характер занижения регистрируемой заболеваемости, присущий данным рутинного санэпиднадзора. По оценкам </w:t>
      </w:r>
      <w:proofErr w:type="spellStart"/>
      <w:r w:rsidRPr="005614E1">
        <w:rPr>
          <w:lang w:val="ru-RU"/>
        </w:rPr>
        <w:t>Кобака</w:t>
      </w:r>
      <w:proofErr w:type="spellEnd"/>
      <w:r w:rsidRPr="005614E1">
        <w:rPr>
          <w:lang w:val="ru-RU"/>
        </w:rPr>
        <w:t xml:space="preserve"> [17], основанным на анализе избыточной смертности, реальная заболеваемость </w:t>
      </w:r>
      <w:r>
        <w:t>COVID</w:t>
      </w:r>
      <w:r w:rsidRPr="005614E1">
        <w:rPr>
          <w:lang w:val="ru-RU"/>
        </w:rPr>
        <w:t>-19 в России превышала официально регистрируемую в 5–10 раз, причём коэффициент занижения существенно варьировал между волнами в зависимости от доступности тестирования и тяжести течения доминирующего варианта. Следствием этого является то, что абсолютные значения подобранных параметров (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,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μ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,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iCs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) не могут интерпретироваться как оценки истинных биологических параметров передачи: они отражают кинетику регистрируемых случаев, а не реального инфицирования. В частности, эффективный размер популяции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является нижней оценкой числа людей, реально подверженных риску в данной волне.</w:t>
      </w:r>
    </w:p>
    <w:p w14:paraId="1FB73928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Применительно к основному параметру интереса —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— данное ограничение проявляется менее остро, поскольку субдиффузионный характер динамики кодируется в форме эпидемической кривой (соотношении длительностей фаз подъёма и спада), а не в абсолютном масштабе заболеваемости. Тем не менее систематически заниженный масштаб кривых мог привести к смещению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в том случае, если коэффициент занижения сам претерпевал динамические изменения внутри волны — например, нарастал в фазе подъёма вследствие временного переполнения тест-центров. Верификация этого эффекта в отсутствие независимых данных невозможна, поэтому все содержательные выводы о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5614E1">
        <w:rPr>
          <w:lang w:val="ru-RU"/>
        </w:rPr>
        <w:t xml:space="preserve"> корректны лишь условно при гипотезе о примерно постоянном коэффициенте регистрации внутри каждой отдельной волны.</w:t>
      </w:r>
    </w:p>
    <w:p w14:paraId="5318789E" w14:textId="77777777" w:rsidR="003666D1" w:rsidRPr="005614E1" w:rsidRDefault="003666D1" w:rsidP="003666D1">
      <w:pPr>
        <w:pStyle w:val="3"/>
        <w:rPr>
          <w:lang w:val="ru-RU"/>
        </w:rPr>
      </w:pPr>
      <w:bookmarkStart w:id="21" w:name="Xe0b834684c241abdfb6f6a1e3456d8a43947442"/>
      <w:bookmarkEnd w:id="20"/>
      <w:r w:rsidRPr="005614E1">
        <w:rPr>
          <w:lang w:val="ru-RU"/>
        </w:rPr>
        <w:t xml:space="preserve">4.4.2 Ограничения модельного класса: идентифицируемость и </w:t>
      </w:r>
      <w:proofErr w:type="spellStart"/>
      <w:r w:rsidRPr="005614E1">
        <w:rPr>
          <w:lang w:val="ru-RU"/>
        </w:rPr>
        <w:t>коллинеарность</w:t>
      </w:r>
      <w:proofErr w:type="spellEnd"/>
    </w:p>
    <w:p w14:paraId="6CD81682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Проблема идентифицируемости </w:t>
      </w:r>
      <w:r>
        <w:t>SEIRD</w:t>
      </w:r>
      <w:r w:rsidRPr="005614E1">
        <w:rPr>
          <w:lang w:val="ru-RU"/>
        </w:rPr>
        <w:t xml:space="preserve">-модели, детально проанализированная Королёвым [3], в полной мере применима к настоящему исследованию. Параметры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,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 образуют коллинеарную тройку: при фиксированной форме кривой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5614E1">
        <w:rPr>
          <w:i/>
          <w:iCs/>
          <w:lang w:val="ru-RU"/>
        </w:rPr>
        <w:t xml:space="preserve"> уменьшение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β</m:t>
            </m:r>
            <m:ctrlPr>
              <w:rPr>
                <w:rFonts w:ascii="Cambria Math" w:hAnsi="Cambria Math"/>
                <w:iCs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i/>
          <w:iCs/>
          <w:lang w:val="ru-RU"/>
        </w:rPr>
        <w:t xml:space="preserve"> может компенсироваться уменьшением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с одновременным изменением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lang w:val="ru-RU"/>
        </w:rPr>
        <w:t xml:space="preserve"> таким образом, чтобы функция потерь оставалась практически неизменной. Применённые меры по снижению коллинеарности — </w:t>
      </w:r>
      <w:r w:rsidRPr="005614E1">
        <w:rPr>
          <w:lang w:val="ru-RU"/>
        </w:rPr>
        <w:lastRenderedPageBreak/>
        <w:t xml:space="preserve">аналитическое предобусловливание начальных условий из уравнения финального размера эпидемии и фиксация </w:t>
      </w:r>
      <m:oMath>
        <m:r>
          <w:rPr>
            <w:rFonts w:ascii="Cambria Math" w:hAnsi="Cambria Math"/>
            <w:lang w:val="ru-RU"/>
          </w:rPr>
          <m:t>σ</m:t>
        </m:r>
      </m:oMath>
      <w:r w:rsidRPr="005614E1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γ</m:t>
        </m:r>
      </m:oMath>
      <w:r w:rsidRPr="005614E1">
        <w:rPr>
          <w:lang w:val="ru-RU"/>
        </w:rPr>
        <w:t xml:space="preserve"> из штаммовых данных — не устраняют проблему полностью, но существенно ограничивают пространство решений. Тем не менее профили функции потерь по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lang w:val="ru-RU"/>
        </w:rPr>
        <w:t xml:space="preserve"> в ряде коротких волн (</w:t>
      </w:r>
      <w:r>
        <w:t>T</w:t>
      </w:r>
      <w:r w:rsidRPr="005614E1">
        <w:rPr>
          <w:lang w:val="ru-RU"/>
        </w:rPr>
        <w:t xml:space="preserve"> </w:t>
      </w:r>
      <w:proofErr w:type="gramStart"/>
      <w:r w:rsidRPr="005614E1">
        <w:rPr>
          <w:lang w:val="ru-RU"/>
        </w:rPr>
        <w:t>&lt; 60</w:t>
      </w:r>
      <w:proofErr w:type="gramEnd"/>
      <w:r w:rsidRPr="005614E1">
        <w:rPr>
          <w:lang w:val="ru-RU"/>
        </w:rPr>
        <w:t xml:space="preserve"> дней) обнаруживали уплощённые минимумы с относительно широкими долинами, что свидетельствует о неполной идентифицируемости на малых выборках.</w:t>
      </w:r>
    </w:p>
    <w:p w14:paraId="38E457F0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В этой связи 95%-е доверительные интервалы для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, полученные из профиля функции потерь (раздел 3.3.1), следует интерпретировать как нижнюю оценку реальной неопределённости: они отражают кривизну функции потерь в окрестности найденного минимума, но не учитывают неопределённость вследствие коллинеарности с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. Байесовский вывод с явными совместными априорными распределениями на </w:t>
      </w:r>
      <m:oMath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α</m:t>
            </m:r>
          </m:e>
        </m:d>
      </m:oMath>
      <w:r w:rsidRPr="005614E1">
        <w:rPr>
          <w:lang w:val="ru-RU"/>
        </w:rPr>
        <w:t xml:space="preserve"> позволил бы получить более корректную характеристику неопределённости, однако потребовал бы существенного усложнения вычислительного конвейера.</w:t>
      </w:r>
    </w:p>
    <w:p w14:paraId="2B0E5C71" w14:textId="77777777" w:rsidR="003666D1" w:rsidRPr="005614E1" w:rsidRDefault="003666D1" w:rsidP="003666D1">
      <w:pPr>
        <w:pStyle w:val="3"/>
        <w:rPr>
          <w:lang w:val="ru-RU"/>
        </w:rPr>
      </w:pPr>
      <w:bookmarkStart w:id="22" w:name="X1c79f6cea59e7d88bbd2f8cc106e87674fee5a6"/>
      <w:bookmarkEnd w:id="21"/>
      <w:r w:rsidRPr="005614E1">
        <w:rPr>
          <w:lang w:val="ru-RU"/>
        </w:rPr>
        <w:t xml:space="preserve">4.4.3 Вычислительные ограничения </w:t>
      </w:r>
      <w:r>
        <w:t>GL</w:t>
      </w:r>
      <w:r w:rsidRPr="005614E1">
        <w:rPr>
          <w:lang w:val="ru-RU"/>
        </w:rPr>
        <w:t>-схемы</w:t>
      </w:r>
    </w:p>
    <w:p w14:paraId="60FD351D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Явная </w:t>
      </w:r>
      <w:r>
        <w:t>GL</w:t>
      </w:r>
      <w:r w:rsidRPr="005614E1">
        <w:rPr>
          <w:lang w:val="ru-RU"/>
        </w:rPr>
        <w:t xml:space="preserve">-схема с шагом </w:t>
      </w:r>
      <m:oMath>
        <m:r>
          <w:rPr>
            <w:rFonts w:ascii="Cambria Math" w:hAnsi="Cambria Math"/>
            <w:lang w:val="ru-RU"/>
          </w:rPr>
          <m:t>h = 1</m:t>
        </m:r>
      </m:oMath>
      <w:r w:rsidRPr="005614E1">
        <w:rPr>
          <w:lang w:val="ru-RU"/>
        </w:rPr>
        <w:t xml:space="preserve"> день имеет вычислительную сложность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</m:oMath>
      <w:r w:rsidRPr="005614E1">
        <w:rPr>
          <w:lang w:val="ru-RU"/>
        </w:rPr>
        <w:t xml:space="preserve">, поскольку на каждом шаге суммируются взвешенные состояния системы за все предшествующие дни. Для типичных длин волн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30–50</m:t>
        </m:r>
      </m:oMath>
      <w:r w:rsidRPr="005614E1">
        <w:rPr>
          <w:lang w:val="ru-RU"/>
        </w:rPr>
        <w:t xml:space="preserve"> дней и числа волн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 = 10</m:t>
        </m:r>
      </m:oMath>
      <w:r w:rsidRPr="005614E1">
        <w:rPr>
          <w:lang w:val="ru-RU"/>
        </w:rPr>
        <w:t xml:space="preserve"> это не представляет практического препятствия: полная оптимизация по одной волне выполнялась за [</w:t>
      </w:r>
      <w:r>
        <w:t>t</w:t>
      </w:r>
      <w:r w:rsidRPr="005614E1">
        <w:rPr>
          <w:lang w:val="ru-RU"/>
        </w:rPr>
        <w:t>_</w:t>
      </w:r>
      <w:r>
        <w:t>opt</w:t>
      </w:r>
      <w:r w:rsidRPr="005614E1">
        <w:rPr>
          <w:lang w:val="ru-RU"/>
        </w:rPr>
        <w:t xml:space="preserve">] секунд на стандартном вычислительном узле. Однако при масштабировании метода на </w:t>
      </w:r>
      <w:proofErr w:type="spellStart"/>
      <w:r w:rsidRPr="005614E1">
        <w:rPr>
          <w:lang w:val="ru-RU"/>
        </w:rPr>
        <w:t>многорегиональные</w:t>
      </w:r>
      <w:proofErr w:type="spellEnd"/>
      <w:r w:rsidRPr="005614E1">
        <w:rPr>
          <w:lang w:val="ru-RU"/>
        </w:rPr>
        <w:t xml:space="preserve"> наборы данных (все субъекты РФ, </w:t>
      </w:r>
      <w:r>
        <w:t>N</w:t>
      </w:r>
      <w:r w:rsidRPr="005614E1">
        <w:rPr>
          <w:lang w:val="ru-RU"/>
        </w:rPr>
        <w:t xml:space="preserve"> ≈ 85 регионов, 10 волн каждый) суммарная вычислительная нагрузка возрастёт пропорционально и может потребовать параллельной реализации или применения </w:t>
      </w:r>
      <w:proofErr w:type="spellStart"/>
      <w:r w:rsidRPr="005614E1">
        <w:rPr>
          <w:lang w:val="ru-RU"/>
        </w:rPr>
        <w:t>ускорённых</w:t>
      </w:r>
      <w:proofErr w:type="spellEnd"/>
      <w:r w:rsidRPr="005614E1">
        <w:rPr>
          <w:lang w:val="ru-RU"/>
        </w:rPr>
        <w:t xml:space="preserve"> алгоритмов суммирования </w:t>
      </w:r>
      <w:r>
        <w:t>GL</w:t>
      </w:r>
      <w:r w:rsidRPr="005614E1">
        <w:rPr>
          <w:lang w:val="ru-RU"/>
        </w:rPr>
        <w:t xml:space="preserve">-весов (быстрое преобразование Фурье, схемы с усечённой памятью). Разработка вычислительно эффективной реализации для </w:t>
      </w:r>
      <w:proofErr w:type="spellStart"/>
      <w:r w:rsidRPr="005614E1">
        <w:rPr>
          <w:lang w:val="ru-RU"/>
        </w:rPr>
        <w:t>многорегионального</w:t>
      </w:r>
      <w:proofErr w:type="spellEnd"/>
      <w:r w:rsidRPr="005614E1">
        <w:rPr>
          <w:lang w:val="ru-RU"/>
        </w:rPr>
        <w:t xml:space="preserve"> анализа является актуальной технической задачей.</w:t>
      </w:r>
    </w:p>
    <w:p w14:paraId="6CEB801C" w14:textId="77777777" w:rsidR="003666D1" w:rsidRPr="005614E1" w:rsidRDefault="003666D1" w:rsidP="003666D1">
      <w:pPr>
        <w:pStyle w:val="3"/>
        <w:rPr>
          <w:lang w:val="ru-RU"/>
        </w:rPr>
      </w:pPr>
      <w:bookmarkStart w:id="23" w:name="X803dcf1066bdb4104f4db9bdba80ceaf609b482"/>
      <w:bookmarkEnd w:id="22"/>
      <w:r w:rsidRPr="005614E1">
        <w:rPr>
          <w:lang w:val="ru-RU"/>
        </w:rPr>
        <w:t>4.4.4 Отсутствие пространственного и демографического измерения</w:t>
      </w:r>
    </w:p>
    <w:p w14:paraId="219EA590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Модель предполагает гомогенное перемешивание популяции Пскова, не разделяя её по возрасту, профессиональным группам, географическому распределению внутри города или степени иммунизации. Известно, что этот класс упрощений систематически смещает оценки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614E1">
        <w:rPr>
          <w:lang w:val="ru-RU"/>
        </w:rPr>
        <w:t xml:space="preserve"> вверх, поскольку реальная контактная структура снижает эффективную скорость передачи относительно теоретической [2]. Структурированные по возрасту </w:t>
      </w:r>
      <w:r>
        <w:t>SEIRD</w:t>
      </w:r>
      <w:r w:rsidRPr="005614E1">
        <w:rPr>
          <w:lang w:val="ru-RU"/>
        </w:rPr>
        <w:t>-модели (</w:t>
      </w:r>
      <w:r>
        <w:t>MSEIRD</w:t>
      </w:r>
      <w:r w:rsidRPr="005614E1">
        <w:rPr>
          <w:lang w:val="ru-RU"/>
        </w:rPr>
        <w:t xml:space="preserve">) частично снимают это ограничение, однако требуют возрастной разбивки данных о заболеваемости, которая в используемых источниках недоступна на уровне города. </w:t>
      </w:r>
      <w:r w:rsidRPr="005614E1">
        <w:rPr>
          <w:lang w:val="ru-RU"/>
        </w:rPr>
        <w:lastRenderedPageBreak/>
        <w:t>Отсутствие пространственного измерения означает также, что модель не способна воспроизвести динамику, при которой отдельные микрорайоны или учреждения выступали локальными очагами с собственной кинетикой распространения.</w:t>
      </w:r>
    </w:p>
    <w:p w14:paraId="5E4254A9" w14:textId="77777777" w:rsidR="003666D1" w:rsidRPr="005614E1" w:rsidRDefault="003666D1" w:rsidP="003666D1">
      <w:pPr>
        <w:pStyle w:val="3"/>
        <w:rPr>
          <w:lang w:val="ru-RU"/>
        </w:rPr>
      </w:pPr>
      <w:bookmarkStart w:id="24" w:name="Xd280512b64fd13a26007915dcc7af3d9ad9ad8e"/>
      <w:bookmarkEnd w:id="23"/>
      <w:r w:rsidRPr="005614E1">
        <w:rPr>
          <w:lang w:val="ru-RU"/>
        </w:rPr>
        <w:t xml:space="preserve">4.4.5 Невозможность независимой валидации </w:t>
      </w:r>
      <w:r>
        <w:t>α</w:t>
      </w:r>
      <w:r w:rsidRPr="005614E1">
        <w:rPr>
          <w:lang w:val="ru-RU"/>
        </w:rPr>
        <w:t>_</w:t>
      </w:r>
      <w:r>
        <w:t>k</w:t>
      </w:r>
    </w:p>
    <w:p w14:paraId="31B6BEF2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Важнейшим нерешённым ограничением является отсутствие независимого внешнего критерия для верификации предложенной интерпретации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 как маркера популяционного иммунитета. Прямая верификация потребовала бы данных серологических обследований населения Пскова, синхронизированных по времени с границами эпидемических волн, — данных, которые в открытом доступе для данного города не представлены. Косвенные свидетельства — корреляция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с кумулятивной заражённостью,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iCs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 и индексом асимметрии кривой (раздел 3.5) — согласуются с иммунологической гипотезой, однако не являются её строгим доказательством. Альтернативные объяснения убывания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— нарастающая поведенческая реакция населения, сезонные изменения восприимчивости, артефакты регистрации — не могут быть исключены в рамках настоящего дизайна.</w:t>
      </w:r>
    </w:p>
    <w:p w14:paraId="4AC824CD" w14:textId="77777777" w:rsidR="003666D1" w:rsidRPr="005614E1" w:rsidRDefault="003666D1" w:rsidP="003666D1">
      <w:pPr>
        <w:pStyle w:val="3"/>
        <w:rPr>
          <w:lang w:val="ru-RU"/>
        </w:rPr>
      </w:pPr>
      <w:bookmarkStart w:id="25" w:name="X70ed335cfeb0c9fe51861bcb8c1b0f437958744"/>
      <w:bookmarkEnd w:id="24"/>
      <w:r w:rsidRPr="005614E1">
        <w:rPr>
          <w:lang w:val="ru-RU"/>
        </w:rPr>
        <w:t>4.4.6 Направления будущих исследований</w:t>
      </w:r>
    </w:p>
    <w:p w14:paraId="7B38B2F9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 xml:space="preserve">Полученные результаты открывают несколько взаимосвязанных перспектив. Первое направление — пространственное обобщение метода: применение </w:t>
      </w:r>
      <w:proofErr w:type="spellStart"/>
      <w:r w:rsidRPr="005614E1">
        <w:rPr>
          <w:lang w:val="ru-RU"/>
        </w:rPr>
        <w:t>поволнового</w:t>
      </w:r>
      <w:proofErr w:type="spellEnd"/>
      <w:r w:rsidRPr="005614E1">
        <w:rPr>
          <w:lang w:val="ru-RU"/>
        </w:rPr>
        <w:t xml:space="preserve"> дробного </w:t>
      </w:r>
      <w:r>
        <w:t>SEIRD</w:t>
      </w:r>
      <w:r w:rsidRPr="005614E1">
        <w:rPr>
          <w:lang w:val="ru-RU"/>
        </w:rPr>
        <w:t xml:space="preserve">-анализа к данным по всем или репрезентативной выборке субъектов РФ позволит проверить, является ли наблюдаемая закономерность убывания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 универсальной для российских городов различного размера и географического положения, или специфична для северо-западного региона. Второе направление — байесовская реализация модели с полным апостериорным распределением по </w:t>
      </w:r>
      <m:oMath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β,</m:t>
            </m:r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d>
      </m:oMath>
      <w:r w:rsidRPr="005614E1">
        <w:rPr>
          <w:lang w:val="ru-RU"/>
        </w:rPr>
        <w:t xml:space="preserve">, которая обеспечит корректную совместную характеристику неопределённости параметров и позволит тестировать гипотезы об изменении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lang w:val="ru-RU"/>
        </w:rPr>
        <w:t xml:space="preserve"> между волнами с учётом коллинеарности.</w:t>
      </w:r>
    </w:p>
    <w:p w14:paraId="4936E6E1" w14:textId="77777777" w:rsidR="003666D1" w:rsidRPr="005614E1" w:rsidRDefault="003666D1" w:rsidP="003666D1">
      <w:pPr>
        <w:pStyle w:val="af5"/>
        <w:rPr>
          <w:lang w:val="ru-RU"/>
        </w:rPr>
      </w:pPr>
      <w:r w:rsidRPr="005614E1">
        <w:rPr>
          <w:lang w:val="ru-RU"/>
        </w:rPr>
        <w:t>Третье направление — включение данных о вакцинации. Официальная статистика охвата вакцинацией по субъектам РФ доступна с конца 2020 года и позволяет ввести в модель явный компартмент вакцинированных (</w:t>
      </w:r>
      <w:r>
        <w:t>V</w:t>
      </w:r>
      <w:r w:rsidRPr="005614E1">
        <w:rPr>
          <w:lang w:val="ru-RU"/>
        </w:rPr>
        <w:t xml:space="preserve">) с варьирующей по времени и штаммам эффективностью. Это даст возможность частично разделить вклады вакцинального и постинфекционного иммунитета в наблюдаемое убывание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  <w:lang w:val="ru-RU"/>
        </w:rPr>
        <w:t xml:space="preserve"> — что является ключевым условием для превращения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iCs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i/>
          <w:iCs/>
          <w:lang w:val="ru-RU"/>
        </w:rPr>
        <w:t xml:space="preserve"> из феноменологического маркера в верифицируемую иммунологическую характеристику. Наконец, прогностическое применение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lang w:val="ru-RU"/>
        </w:rPr>
        <w:t xml:space="preserve"> — оценка данного параметра по ранней (первые 14–21 день) восходящей ветви текущей волны с целью </w:t>
      </w:r>
      <w:r w:rsidRPr="005614E1">
        <w:rPr>
          <w:lang w:val="ru-RU"/>
        </w:rPr>
        <w:lastRenderedPageBreak/>
        <w:t>предсказания формы её спада и совокупной нагрузки на систему здравоохранения — представляет значительный практический интерес и является логичным следующим шагом на пути от ретроспективного к оперативному аналитическому применению разработанного подхода.</w:t>
      </w:r>
    </w:p>
    <w:bookmarkEnd w:id="19"/>
    <w:bookmarkEnd w:id="25"/>
    <w:p w14:paraId="5F0CAD8F" w14:textId="07F8DF71" w:rsidR="00832C05" w:rsidRPr="00B53CAD" w:rsidRDefault="00832C05" w:rsidP="00B53CAD">
      <w:pPr>
        <w:pStyle w:val="FirstParagraph"/>
        <w:rPr>
          <w:lang w:val="ru-RU"/>
        </w:rPr>
      </w:pPr>
    </w:p>
    <w:sectPr w:rsidR="00832C05" w:rsidRPr="00B53C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380FA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6CE02A5"/>
    <w:multiLevelType w:val="hybridMultilevel"/>
    <w:tmpl w:val="B1220250"/>
    <w:lvl w:ilvl="0" w:tplc="13F295D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F366E"/>
    <w:multiLevelType w:val="hybridMultilevel"/>
    <w:tmpl w:val="9BC0A7F6"/>
    <w:lvl w:ilvl="0" w:tplc="E0D863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1644">
    <w:abstractNumId w:val="0"/>
  </w:num>
  <w:num w:numId="2" w16cid:durableId="1650357387">
    <w:abstractNumId w:val="2"/>
  </w:num>
  <w:num w:numId="3" w16cid:durableId="1520240666">
    <w:abstractNumId w:val="1"/>
  </w:num>
  <w:num w:numId="4" w16cid:durableId="1907643655">
    <w:abstractNumId w:val="2"/>
  </w:num>
  <w:num w:numId="5" w16cid:durableId="94596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C05"/>
    <w:rsid w:val="003666D1"/>
    <w:rsid w:val="00673E14"/>
    <w:rsid w:val="00832C05"/>
    <w:rsid w:val="00866632"/>
    <w:rsid w:val="00B5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53C5"/>
  <w15:docId w15:val="{6A3CA40F-6746-4D0F-88E9-0C9038FF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53CAD"/>
  </w:style>
  <w:style w:type="paragraph" w:styleId="1">
    <w:name w:val="heading 1"/>
    <w:basedOn w:val="a1"/>
    <w:next w:val="a1"/>
    <w:link w:val="10"/>
    <w:uiPriority w:val="9"/>
    <w:qFormat/>
    <w:rsid w:val="00B5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B5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B5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5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5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5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5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5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5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pPr>
      <w:spacing w:before="180" w:after="180"/>
    </w:pPr>
  </w:style>
  <w:style w:type="paragraph" w:customStyle="1" w:styleId="FirstParagraph">
    <w:name w:val="First Paragraph"/>
    <w:basedOn w:val="a5"/>
    <w:next w:val="a5"/>
  </w:style>
  <w:style w:type="paragraph" w:customStyle="1" w:styleId="Compact">
    <w:name w:val="Compact"/>
    <w:basedOn w:val="a5"/>
    <w:pPr>
      <w:spacing w:before="36" w:after="36"/>
    </w:pPr>
  </w:style>
  <w:style w:type="paragraph" w:styleId="a6">
    <w:name w:val="Title"/>
    <w:basedOn w:val="a1"/>
    <w:next w:val="a1"/>
    <w:link w:val="a7"/>
    <w:uiPriority w:val="10"/>
    <w:qFormat/>
    <w:rsid w:val="00B53CAD"/>
    <w:pPr>
      <w:pBdr>
        <w:bottom w:val="double" w:sz="6" w:space="1" w:color="auto"/>
      </w:pBdr>
      <w:spacing w:after="80" w:line="240" w:lineRule="auto"/>
      <w:contextualSpacing/>
    </w:pPr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B53CAD"/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B5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2"/>
    <w:link w:val="a8"/>
    <w:uiPriority w:val="11"/>
    <w:rsid w:val="00B5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6"/>
    <w:next w:val="a5"/>
    <w:pPr>
      <w:keepNext/>
      <w:keepLines/>
    </w:pPr>
    <w:rPr>
      <w:sz w:val="24"/>
      <w:szCs w:val="24"/>
    </w:rPr>
  </w:style>
  <w:style w:type="paragraph" w:styleId="aa">
    <w:name w:val="Date"/>
    <w:basedOn w:val="a6"/>
    <w:next w:val="a5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5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1"/>
  </w:style>
  <w:style w:type="character" w:customStyle="1" w:styleId="10">
    <w:name w:val="Заголовок 1 Знак"/>
    <w:basedOn w:val="a2"/>
    <w:link w:val="1"/>
    <w:uiPriority w:val="9"/>
    <w:rsid w:val="00B53CAD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B5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B5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53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B53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B53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B53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B53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B53CAD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5"/>
    <w:next w:val="a5"/>
    <w:uiPriority w:val="9"/>
    <w:unhideWhenUsed/>
    <w:pPr>
      <w:spacing w:before="100" w:after="100"/>
      <w:ind w:left="480" w:right="480"/>
    </w:pPr>
  </w:style>
  <w:style w:type="paragraph" w:styleId="ad">
    <w:name w:val="footnote text"/>
    <w:basedOn w:val="a1"/>
    <w:uiPriority w:val="9"/>
    <w:unhideWhenUsed/>
  </w:style>
  <w:style w:type="paragraph" w:customStyle="1" w:styleId="FootnoteBlockText">
    <w:name w:val="Footnote Block Text"/>
    <w:basedOn w:val="ad"/>
    <w:next w:val="ad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e">
    <w:name w:val="caption"/>
    <w:basedOn w:val="a1"/>
    <w:next w:val="a1"/>
    <w:link w:val="af"/>
    <w:uiPriority w:val="35"/>
    <w:unhideWhenUsed/>
    <w:qFormat/>
    <w:rsid w:val="00B53C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ae"/>
    <w:pPr>
      <w:keepNext/>
    </w:pPr>
  </w:style>
  <w:style w:type="paragraph" w:customStyle="1" w:styleId="ImageCaption">
    <w:name w:val="Image Caption"/>
    <w:basedOn w:val="ae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Название объекта Знак"/>
    <w:basedOn w:val="a2"/>
    <w:link w:val="ae"/>
    <w:uiPriority w:val="35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af"/>
    <w:link w:val="SourceCode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SectionNumber">
    <w:name w:val="Section Number"/>
    <w:basedOn w:val="af"/>
    <w:rPr>
      <w:i/>
      <w:iCs/>
      <w:color w:val="0E2841" w:themeColor="text2"/>
      <w:sz w:val="18"/>
      <w:szCs w:val="18"/>
    </w:rPr>
  </w:style>
  <w:style w:type="character" w:styleId="af0">
    <w:name w:val="footnote reference"/>
    <w:basedOn w:val="af"/>
    <w:rPr>
      <w:i/>
      <w:iCs/>
      <w:color w:val="0E2841" w:themeColor="text2"/>
      <w:sz w:val="18"/>
      <w:szCs w:val="18"/>
      <w:vertAlign w:val="superscript"/>
    </w:rPr>
  </w:style>
  <w:style w:type="character" w:styleId="af1">
    <w:name w:val="Hyperlink"/>
    <w:basedOn w:val="af"/>
    <w:rPr>
      <w:i/>
      <w:iCs/>
      <w:color w:val="156082" w:themeColor="accent1"/>
      <w:sz w:val="18"/>
      <w:szCs w:val="18"/>
    </w:rPr>
  </w:style>
  <w:style w:type="paragraph" w:styleId="af2">
    <w:name w:val="TOC Heading"/>
    <w:basedOn w:val="1"/>
    <w:next w:val="a1"/>
    <w:uiPriority w:val="39"/>
    <w:unhideWhenUsed/>
    <w:qFormat/>
    <w:rsid w:val="00B53CAD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paragraph" w:customStyle="1" w:styleId="af3">
    <w:name w:val="Выровнен"/>
    <w:basedOn w:val="a1"/>
    <w:link w:val="af4"/>
    <w:qFormat/>
    <w:rsid w:val="00B53CAD"/>
    <w:pPr>
      <w:spacing w:after="210"/>
      <w:jc w:val="both"/>
    </w:pPr>
    <w:rPr>
      <w:rFonts w:eastAsia="Georgia" w:cs="Georgia"/>
    </w:rPr>
  </w:style>
  <w:style w:type="character" w:customStyle="1" w:styleId="af4">
    <w:name w:val="Выровнен Знак"/>
    <w:basedOn w:val="a2"/>
    <w:link w:val="af3"/>
    <w:rsid w:val="00B53CAD"/>
    <w:rPr>
      <w:rFonts w:eastAsia="Georgia" w:cs="Georgia"/>
    </w:rPr>
  </w:style>
  <w:style w:type="paragraph" w:customStyle="1" w:styleId="af5">
    <w:name w:val="Выровнен Красная строка"/>
    <w:basedOn w:val="af3"/>
    <w:link w:val="af6"/>
    <w:qFormat/>
    <w:rsid w:val="00B53CAD"/>
    <w:pPr>
      <w:ind w:firstLine="720"/>
    </w:pPr>
  </w:style>
  <w:style w:type="character" w:customStyle="1" w:styleId="af6">
    <w:name w:val="Выровнен Красная строка Знак"/>
    <w:basedOn w:val="af4"/>
    <w:link w:val="af5"/>
    <w:rsid w:val="00B53CAD"/>
    <w:rPr>
      <w:rFonts w:eastAsia="Georgia" w:cs="Georgia"/>
    </w:rPr>
  </w:style>
  <w:style w:type="paragraph" w:customStyle="1" w:styleId="a0">
    <w:name w:val="Маркер"/>
    <w:basedOn w:val="af3"/>
    <w:link w:val="af7"/>
    <w:qFormat/>
    <w:rsid w:val="00B53CAD"/>
    <w:pPr>
      <w:numPr>
        <w:numId w:val="4"/>
      </w:numPr>
    </w:pPr>
  </w:style>
  <w:style w:type="character" w:customStyle="1" w:styleId="af7">
    <w:name w:val="Маркер Знак"/>
    <w:basedOn w:val="af4"/>
    <w:link w:val="a0"/>
    <w:rsid w:val="00B53CAD"/>
    <w:rPr>
      <w:rFonts w:eastAsia="Georgia" w:cs="Georgia"/>
    </w:rPr>
  </w:style>
  <w:style w:type="paragraph" w:customStyle="1" w:styleId="a">
    <w:name w:val="Номер"/>
    <w:basedOn w:val="a0"/>
    <w:link w:val="af8"/>
    <w:qFormat/>
    <w:rsid w:val="00B53CAD"/>
    <w:pPr>
      <w:numPr>
        <w:numId w:val="5"/>
      </w:numPr>
    </w:pPr>
  </w:style>
  <w:style w:type="character" w:customStyle="1" w:styleId="af8">
    <w:name w:val="Номер Знак"/>
    <w:basedOn w:val="af7"/>
    <w:link w:val="a"/>
    <w:rsid w:val="00B53CAD"/>
    <w:rPr>
      <w:rFonts w:eastAsia="Georgia" w:cs="Georgia"/>
    </w:rPr>
  </w:style>
  <w:style w:type="character" w:styleId="af9">
    <w:name w:val="Strong"/>
    <w:basedOn w:val="a2"/>
    <w:uiPriority w:val="22"/>
    <w:qFormat/>
    <w:rsid w:val="00B53CAD"/>
    <w:rPr>
      <w:b/>
      <w:bCs/>
    </w:rPr>
  </w:style>
  <w:style w:type="character" w:styleId="afa">
    <w:name w:val="Emphasis"/>
    <w:basedOn w:val="a2"/>
    <w:uiPriority w:val="20"/>
    <w:qFormat/>
    <w:rsid w:val="00B53CAD"/>
    <w:rPr>
      <w:i/>
      <w:iCs/>
    </w:rPr>
  </w:style>
  <w:style w:type="paragraph" w:styleId="afb">
    <w:name w:val="No Spacing"/>
    <w:uiPriority w:val="1"/>
    <w:qFormat/>
    <w:rsid w:val="00B53CAD"/>
    <w:pPr>
      <w:spacing w:after="0" w:line="240" w:lineRule="auto"/>
    </w:pPr>
  </w:style>
  <w:style w:type="paragraph" w:styleId="21">
    <w:name w:val="Quote"/>
    <w:basedOn w:val="a1"/>
    <w:next w:val="a1"/>
    <w:link w:val="22"/>
    <w:uiPriority w:val="29"/>
    <w:qFormat/>
    <w:rsid w:val="00B5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53CAD"/>
    <w:rPr>
      <w:i/>
      <w:iCs/>
      <w:color w:val="404040" w:themeColor="text1" w:themeTint="BF"/>
    </w:rPr>
  </w:style>
  <w:style w:type="paragraph" w:styleId="afc">
    <w:name w:val="Intense Quote"/>
    <w:basedOn w:val="a1"/>
    <w:next w:val="a1"/>
    <w:link w:val="afd"/>
    <w:uiPriority w:val="30"/>
    <w:qFormat/>
    <w:rsid w:val="00B5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d">
    <w:name w:val="Выделенная цитата Знак"/>
    <w:basedOn w:val="a2"/>
    <w:link w:val="afc"/>
    <w:uiPriority w:val="30"/>
    <w:rsid w:val="00B53CAD"/>
    <w:rPr>
      <w:i/>
      <w:iCs/>
      <w:color w:val="0F4761" w:themeColor="accent1" w:themeShade="BF"/>
    </w:rPr>
  </w:style>
  <w:style w:type="character" w:styleId="afe">
    <w:name w:val="Subtle Emphasis"/>
    <w:basedOn w:val="a2"/>
    <w:uiPriority w:val="19"/>
    <w:qFormat/>
    <w:rsid w:val="00B53CAD"/>
    <w:rPr>
      <w:i/>
      <w:iCs/>
      <w:color w:val="404040" w:themeColor="text1" w:themeTint="BF"/>
    </w:rPr>
  </w:style>
  <w:style w:type="character" w:styleId="aff">
    <w:name w:val="Intense Emphasis"/>
    <w:basedOn w:val="a2"/>
    <w:uiPriority w:val="21"/>
    <w:qFormat/>
    <w:rsid w:val="00B53CAD"/>
    <w:rPr>
      <w:i/>
      <w:iCs/>
      <w:color w:val="0F4761" w:themeColor="accent1" w:themeShade="BF"/>
    </w:rPr>
  </w:style>
  <w:style w:type="character" w:styleId="aff0">
    <w:name w:val="Subtle Reference"/>
    <w:basedOn w:val="a2"/>
    <w:uiPriority w:val="31"/>
    <w:qFormat/>
    <w:rsid w:val="00B53CAD"/>
    <w:rPr>
      <w:smallCaps/>
      <w:color w:val="5A5A5A" w:themeColor="text1" w:themeTint="A5"/>
    </w:rPr>
  </w:style>
  <w:style w:type="character" w:styleId="aff1">
    <w:name w:val="Intense Reference"/>
    <w:basedOn w:val="a2"/>
    <w:uiPriority w:val="32"/>
    <w:qFormat/>
    <w:rsid w:val="00B53CAD"/>
    <w:rPr>
      <w:b/>
      <w:bCs/>
      <w:smallCaps/>
      <w:color w:val="0F4761" w:themeColor="accent1" w:themeShade="BF"/>
      <w:spacing w:val="5"/>
    </w:rPr>
  </w:style>
  <w:style w:type="character" w:styleId="aff2">
    <w:name w:val="Book Title"/>
    <w:basedOn w:val="a2"/>
    <w:uiPriority w:val="33"/>
    <w:qFormat/>
    <w:rsid w:val="00B53CA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4284</Words>
  <Characters>24419</Characters>
  <Application>Microsoft Office Word</Application>
  <DocSecurity>0</DocSecurity>
  <Lines>203</Lines>
  <Paragraphs>57</Paragraphs>
  <ScaleCrop>false</ScaleCrop>
  <Company/>
  <LinksUpToDate>false</LinksUpToDate>
  <CharactersWithSpaces>28646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Samarkin</cp:lastModifiedBy>
  <cp:revision>4</cp:revision>
  <dcterms:created xsi:type="dcterms:W3CDTF">2026-04-22T01:54:00Z</dcterms:created>
  <dcterms:modified xsi:type="dcterms:W3CDTF">2026-04-22T02:44:00Z</dcterms:modified>
</cp:coreProperties>
</file>