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b11f04314ba6d95cee0e23c92b9a07e208414b5"/>
    <w:p>
      <w:pPr>
        <w:pStyle w:val="Heading2"/>
      </w:pPr>
      <w:r>
        <w:t xml:space="preserve">4.3 Практические следствия для эпидемиологического надзора</w:t>
      </w:r>
    </w:p>
    <w:bookmarkStart w:id="9" w:name="X62a90a35e54a9998a1defe9803a1e5748819494"/>
    <w:p>
      <w:pPr>
        <w:pStyle w:val="Heading3"/>
      </w:pPr>
      <w:r>
        <w:t xml:space="preserve">4.3.1 Применимость конвейера к стандартным данным Роспотребнадзора</w:t>
      </w:r>
    </w:p>
    <w:p>
      <w:pPr>
        <w:pStyle w:val="FirstParagraph"/>
      </w:pPr>
      <w:r>
        <w:t xml:space="preserve">Центральным практическим результатом настоящего исследования является демонстрация того, что полный цикл ретроспективного поволнового анализа — от сырых файлов государственной отчётности до формально сравниваемых моделей — выполним без привлечения какого-либо источника данных сверх тех, что доступны в любом региональном управлении Роспотребнадзора. Использованные файлы ($\text{ВП}_{2024\text{–}2025}$.xlsx и ежедневные сводки COVID-19) представляют собой стандартные формы федерального статистического наблюдения; аналогичные по структуре файлы ведутся для всех субъектов РФ и большинства субъектов доступны либо в рамках информационного обмена, либо в открытом доступе. Это означает, что методология настоящей работы без принципиальной модификации переносима на любой российский город с населением от 50 000 человек и выше: ключевое условие применимости — наличие непрерывного ежедневного ряда заболеваемости с достаточно малой долей пропусков ($&lt; 25$%) хотя бы по одной волне.</w:t>
      </w:r>
    </w:p>
    <w:p>
      <w:pPr>
        <w:pStyle w:val="BodyText"/>
      </w:pPr>
      <w:r>
        <w:t xml:space="preserve">Конвейер предобработки (кубическая сплайн-интерполяция, гауссово сглаживание, автоматическая разметка волн) и конвейер калибровки (аналитическое предобусловливание → сеточный поиск → NelderMead → L-BFGS → GL-интегратор) реализованы в Julia с фиксированными зависимостями и воспроизводимы при наличии таблицы параметров штаммов</w:t>
      </w:r>
      <w:r>
        <w:t xml:space="preserve"> </w:t>
      </w:r>
      <w:r>
        <w:rPr>
          <w:rStyle w:val="VerbatimChar"/>
        </w:rPr>
        <w:t xml:space="preserve">covid19_seird_params.csv</w:t>
      </w:r>
      <w:r>
        <w:t xml:space="preserve">, которая в рамках настоящей публикации будет предоставлена в открытом доступе. Таким образом, основным нетиражируемым ресурсом остаются лишь исходные данные надзора — и именно снижение требований к данным составляет ключевую практическую ценность подхода.</w:t>
      </w:r>
    </w:p>
    <w:bookmarkEnd w:id="9"/>
    <w:bookmarkStart w:id="10" w:name="Xe91a8450f9bdaca03402518a223ba16841ee260"/>
    <w:p>
      <w:pPr>
        <w:pStyle w:val="Heading3"/>
      </w:pPr>
      <w:r>
        <w:t xml:space="preserve">4.3.2 α_k как опережающий индикатор нагрузки на систему здравоохранения</w:t>
      </w:r>
    </w:p>
    <w:p>
      <w:pPr>
        <w:pStyle w:val="FirstParagraph"/>
      </w:pPr>
      <w:r>
        <w:t xml:space="preserve">Если интерпретация $\hat{\alpha}</w:t>
      </w:r>
      <w:r>
        <w:rPr>
          <w:i/>
          <w:iCs/>
        </w:rPr>
        <w:t xml:space="preserve">k &lt; 1$ как маркера субдиффузионной динамики верна, то практическое следствие состоит в следующем: значение α</w:t>
      </w:r>
      <w:r>
        <w:t xml:space="preserve">k, оценённое по первым 14–21 дням восходящей ветви текущей волны, позволяет прогнозировать форму её спада — в частности, ожидаемую длительность фазы убывания и суммарную нагрузку за пределами пика. Для целей планирования коечного фонда, кадрового обеспечения и лекарственного снабжения эта информация критически важна: разница в форме спада между $\alpha_k = 0{,}95$ и $\alpha_k = 0{,}70$ соответствует разнице в длительности периода повышенной нагрузки в несколько недель.</w:t>
      </w:r>
    </w:p>
    <w:p>
      <w:pPr>
        <w:pStyle w:val="BodyText"/>
      </w:pPr>
      <w:r>
        <w:t xml:space="preserve">Перспектива оперативного применения α</w:t>
      </w:r>
      <w:r>
        <w:rPr>
          <w:i/>
          <w:iCs/>
        </w:rPr>
        <w:t xml:space="preserve">k в рамках еженедельного мониторинга заслуживает отдельного рассмотрения. При наличии скользящего окна наблюдений длиной $T_0$ (например, 21 день) и условии стационарности штаммового контекста в пределах этого окна возможна оценка «текущего» α по частичному ряду с последующей экстраполяцией формы волны. Качество такой оценки в условиях реального надзора — с нестационарными задержками регистрации и рапортингом в рамках недели — требует специального исследования, однако первичный анализ чувствительности для данных Пскова (не включённый в настоящую публикацию) показывает, что стабилизация оценки $\hat{\alpha}</w:t>
      </w:r>
      <w:r>
        <w:t xml:space="preserve">k$ относительно окончательного значения происходит приблизительно к 14-му дню после пика, что делает прогностическое применение принципиально реализуемым.</w:t>
      </w:r>
    </w:p>
    <w:bookmarkEnd w:id="10"/>
    <w:bookmarkStart w:id="11" w:name="X6dc98b2399e6eca8ea594efb58de453c1de3782"/>
    <w:p>
      <w:pPr>
        <w:pStyle w:val="Heading3"/>
      </w:pPr>
      <w:r>
        <w:t xml:space="preserve">4.3.3 Межрегиональный мониторинг иммунного фона</w:t>
      </w:r>
    </w:p>
    <w:p>
      <w:pPr>
        <w:pStyle w:val="FirstParagraph"/>
      </w:pPr>
      <w:r>
        <w:t xml:space="preserve">Если предложенный подход будет верифицирован на данных нескольких регионов с различным вакцинационным охватом и историей волн, то систематическое картирование $\hat{\alpha}</w:t>
      </w:r>
      <w:r>
        <w:rPr>
          <w:i/>
          <w:iCs/>
        </w:rPr>
        <w:t xml:space="preserve">k$ по субъектам РФ откроет возможность косвенного мониторинга популяционного иммунного фона на основе стандартных данных надзора — без серологических исследований, которые в России проводятся нерегулярно и не во всех регионах. В частности, регионы с $\hat{\alpha}</w:t>
      </w:r>
      <w:r>
        <w:t xml:space="preserve">k \approx 1$ в поздних волнах могут свидетельствовать либо о начале нового субварианта с выраженным иммунным уклонением (аналог Омикрон BA.1, волна 4 в настоящем исследовании), либо о реальной иммунологической «наивности» в результате пониженного охвата предшествующими волнами и вакцинацией. Разграничение этих сценариев потребует дополнительных данных, однако само по себе пространственное распределение $\hat{\alpha}_k$ представляет самостоятельный аналитический продукт, который может формироваться из уже существующих потоков отчётности.</w:t>
      </w:r>
    </w:p>
    <w:bookmarkEnd w:id="11"/>
    <w:bookmarkStart w:id="12" w:name="X8e8934051d8e697893c92b66dfca8532b19d8af"/>
    <w:p>
      <w:pPr>
        <w:pStyle w:val="Heading3"/>
      </w:pPr>
      <w:r>
        <w:t xml:space="preserve">4.3.4 Ограничения операционального использования</w:t>
      </w:r>
    </w:p>
    <w:p>
      <w:pPr>
        <w:pStyle w:val="FirstParagraph"/>
      </w:pPr>
      <w:r>
        <w:t xml:space="preserve">Перенос предложенного подхода из ретроспективного анализа в режим текущего надзора сопряжён с рядом практических ограничений, которые необходимо принять во внимание. Во-первых, алгоритм автоматической разметки волн требует наличия достаточно длинного сглаженного ряда для устойчивой оценки знака первой производной: в начале новой волны, когда ряд насчитывает лишь 10–14 дней, границы волны не могут быть определены надёжно. Во-вторых, биологическая привязка σ и γ к доминирующему варианту предполагает оперативную идентификацию этого варианта — задачу, которая в условиях региональных систем надзора решается с задержкой в несколько недель относительно появления нового субварианта. В-третьих, оптимизационный конвейер с 15 стартами NelderMead и до 10 000 итерациями L-BFGS требует автоматизированного контроля сходимости, поскольку в оперативном режиме нет возможности ручной верификации каждого результата.</w:t>
      </w:r>
    </w:p>
    <w:p>
      <w:pPr>
        <w:pStyle w:val="BodyText"/>
      </w:pPr>
      <w:r>
        <w:t xml:space="preserve">Эти ограничения не являются принципиально непреодолимыми: для каждого из них существуют технические решения (ранняя остановка разметки волн по порогу абсолютного числа случаев; использование «предположительного» варианта на основе общегеографического календаря доминирования; автоматизированный флаг проверки сходимости по кратности прогонов с независимыми стартами). Разработка оперативной версии конвейера с этими расширениями представляется реалистичной задачей в рамках одного-двух человеколет прикладной разработки.</w:t>
      </w:r>
    </w:p>
    <w:bookmarkEnd w:id="12"/>
    <w:bookmarkStart w:id="13" w:name="X1446ddb38e58e7d3e0b35f2a52d3e72a9448d2a"/>
    <w:p>
      <w:pPr>
        <w:pStyle w:val="Heading3"/>
      </w:pPr>
      <w:r>
        <w:t xml:space="preserve">4.3.5 Включение в систему поддержки принятия решений</w:t>
      </w:r>
    </w:p>
    <w:p>
      <w:pPr>
        <w:pStyle w:val="FirstParagraph"/>
      </w:pPr>
      <w:r>
        <w:t xml:space="preserve">В более широком контексте государственного санитарно-эпидемиологического надзора предложенная методология занимает нишу инструментов среднесрочного анализа — между оперативными дашбордами суточной заболеваемости и долгосрочными демографическими прогнозами. Её характерное время — от одной до нескольких недель после идентификации пика волны — соответствует горизонту принятия решений о режиме работы первичного звена здравоохранения, введении или отмене дополнительных ставок в стационарах и приоритизации вакцинационных кампаний. Формализованный вывод о значимом $\hat{\alpha}_k &lt; 1$ может служить количественным подтверждением тезиса о том, что текущая волна развивается в условиях выраженного популяционного иммунитета — тезиса, влияющего как на оценку ожидаемой тяжести, так и на интерпретацию наблюдаемых клинических тенденций в рамках регионального здравоохранения.</w:t>
      </w:r>
    </w:p>
    <w:p>
      <w:pPr>
        <w:pStyle w:val="BodyText"/>
      </w:pPr>
      <w:r>
        <w:t xml:space="preserve">Следует, тем не менее, подчеркнуть: любое операциональное использование $\hat{\alpha}_k$ должно сопровождаться явным указанием на феноменологический характер данного параметра и ограниченность его интерпретируемости в отсутствие независимых иммунологических данных (раздел 3.5.5). Включение модельных оценок в документы органов здравоохранения без надлежащей фиксации неопределённости и без системы последующей верификации несёт риск ложного ощущения количественной определённости там, где её нет.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2026-04-22T02:27:30Z</dcterms:created>
  <dcterms:modified xsi:type="dcterms:W3CDTF">2026-04-22T02:27:30Z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