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d9ad315d508c6031b6fdeddf4e064d1a55eb0a5"/>
    <w:p>
      <w:pPr>
        <w:pStyle w:val="Heading2"/>
      </w:pPr>
      <w:r>
        <w:t xml:space="preserve">4.4 Ограничения исследования и направления будущих исследований</w:t>
      </w:r>
    </w:p>
    <w:bookmarkStart w:id="9" w:name="Xa5a3cef49062f2299172397ba7279cd9776591b"/>
    <w:p>
      <w:pPr>
        <w:pStyle w:val="Heading3"/>
      </w:pPr>
      <w:r>
        <w:t xml:space="preserve">4.4.1 Ограничения данных: занижение регистрируемой заболеваемости</w:t>
      </w:r>
    </w:p>
    <w:p>
      <w:pPr>
        <w:pStyle w:val="FirstParagraph"/>
      </w:pPr>
      <w:r>
        <w:t xml:space="preserve">Фундаментальным ограничением настоящего исследования является системный характер занижения регистрируемой заболеваемости, присущий данным рутинного санэпиднадзора. По оценкам Кобака [17], основанным на анализе избыточной смертности, реальная заболеваемость COVID-19 в России превышала официально регистрируемую в 5–10 раз, причём коэффициент занижения существенно варьировал между волнами в зависимости от доступности тестирования и тяжести течения доминирующего варианта. Следствием этого является то, что абсолютные значения подобранных параметров ($\hat{\beta}</w:t>
      </w:r>
      <w:r>
        <w:rPr>
          <w:i/>
          <w:iCs/>
        </w:rPr>
        <w:t xml:space="preserve">k$, $\hat{\mu}</w:t>
      </w:r>
      <w:r>
        <w:t xml:space="preserve">k$, $\hat{N}</w:t>
      </w:r>
      <w:r>
        <w:rPr>
          <w:i/>
          <w:iCs/>
        </w:rPr>
        <w:t xml:space="preserve">{\text{eff},k}$) не могут интерпретироваться как оценки истинных биологических параметров передачи: они отражают кинетику регистрируемых случаев, а не реального инфицирования. В частности, эффективный размер популяции $\hat{N}</w:t>
      </w:r>
      <w:r>
        <w:t xml:space="preserve">{\text{eff},k}$ является нижней оценкой числа людей, реально подверженных риску в данной волне.</w:t>
      </w:r>
    </w:p>
    <w:p>
      <w:pPr>
        <w:pStyle w:val="BodyText"/>
      </w:pPr>
      <w:r>
        <w:t xml:space="preserve">Применительно к основному параметру интереса — $\hat{\alpha}</w:t>
      </w:r>
      <w:r>
        <w:rPr>
          <w:i/>
          <w:iCs/>
        </w:rPr>
        <w:t xml:space="preserve">k$ — данное ограничение проявляется менее остро, поскольку субдиффузионный характер динамики кодируется в форме эпидемической кривой (соотношении длительностей фаз подъёма и спада), а не в абсолютном масштабе заболеваемости. Тем не менее систематически заниженный масштаб кривых мог привести к смещению $\hat{\alpha}</w:t>
      </w:r>
      <w:r>
        <w:t xml:space="preserve">k$ в том случае, если коэффициент занижения сам претерпевал динамические изменения внутри волны — например, нарастал в фазе подъёма вследствие временного переполнения тест-центров. Верификация этого эффекта в отсутствие независимых данных невозможна, поэтому все содержательные выводы о $\hat{\alpha}_k$ корректны лишь условно при гипотезе о примерно постоянном коэффициенте регистрации внутри каждой отдельной волны.</w:t>
      </w:r>
    </w:p>
    <w:bookmarkEnd w:id="9"/>
    <w:bookmarkStart w:id="10" w:name="Xe0b834684c241abdfb6f6a1e3456d8a43947442"/>
    <w:p>
      <w:pPr>
        <w:pStyle w:val="Heading3"/>
      </w:pPr>
      <w:r>
        <w:t xml:space="preserve">4.4.2 Ограничения модельного класса: идентифицируемость и коллинеарность</w:t>
      </w:r>
    </w:p>
    <w:p>
      <w:pPr>
        <w:pStyle w:val="FirstParagraph"/>
      </w:pPr>
      <w:r>
        <w:t xml:space="preserve">Проблема идентифицируемости SEIRD-модели, детально проанализированная Королёвым [3], в полной мере применима к настоящему исследованию. Параметры $\hat{\beta}</w:t>
      </w:r>
      <w:r>
        <w:rPr>
          <w:i/>
          <w:iCs/>
        </w:rPr>
        <w:t xml:space="preserve">k$, $\hat{N}</w:t>
      </w:r>
      <w:r>
        <w:t xml:space="preserve">{\text{eff},k}$ и $\hat{\alpha}</w:t>
      </w:r>
      <w:r>
        <w:rPr>
          <w:i/>
          <w:iCs/>
        </w:rPr>
        <w:t xml:space="preserve">k$ образуют коллинеарную тройку: при фиксированной форме кривой $I(t)$ уменьшение $\beta_k$ может компенсироваться уменьшением $N</w:t>
      </w:r>
      <w:r>
        <w:t xml:space="preserve">{\text{eff},k}$ с одновременным изменением $\alpha_k$ таким образом, чтобы функция потерь оставалась практически неизменной. Применённые меры по снижению коллинеарности — аналитическое предобусловливание начальных условий из уравнения финального размера эпидемии и фиксация $\sigma$, $\gamma$ из штаммовых данных — не устраняют проблему полностью, но существенно ограничивают пространство решений. Тем не менее профили функции потерь по $\alpha_k$ в ряде коротких волн (T &lt; 60 дней) обнаруживали уплощённые минимумы с относительно широкими долинами, что свидетельствует о неполной идентифицируемости на малых выборках.</w:t>
      </w:r>
    </w:p>
    <w:p>
      <w:pPr>
        <w:pStyle w:val="BodyText"/>
      </w:pPr>
      <w:r>
        <w:t xml:space="preserve">В этой связи 95%-е доверительные интервалы для $\hat{\alpha}</w:t>
      </w:r>
      <w:r>
        <w:rPr>
          <w:i/>
          <w:iCs/>
        </w:rPr>
        <w:t xml:space="preserve">k$, полученные из профиля функции потерь (раздел 3.3.1), следует интерпретировать как нижнюю оценку реальной неопределённости: они отражают кривизну функции потерь в окрестности найденного минимума, но не учитывают неопределённость вследствие коллинеарности с $\hat{N}</w:t>
      </w:r>
      <w:r>
        <w:t xml:space="preserve">{\text{eff},k}$ и $\hat{\beta}</w:t>
      </w:r>
      <w:r>
        <w:rPr>
          <w:i/>
          <w:iCs/>
        </w:rPr>
        <w:t xml:space="preserve">k$. Байесовский вывод с явными совместными априорными распределениями на $(\beta, N</w:t>
      </w:r>
      <w:r>
        <w:t xml:space="preserve">{\text{eff}}, \alpha)$ позволил бы получить более корректную характеристику неопределённости, однако потребовал бы существенного усложнения вычислительного конвейера.</w:t>
      </w:r>
    </w:p>
    <w:bookmarkEnd w:id="10"/>
    <w:bookmarkStart w:id="11" w:name="X1c79f6cea59e7d88bbd2f8cc106e87674fee5a6"/>
    <w:p>
      <w:pPr>
        <w:pStyle w:val="Heading3"/>
      </w:pPr>
      <w:r>
        <w:t xml:space="preserve">4.4.3 Вычислительные ограничения GL-схемы</w:t>
      </w:r>
    </w:p>
    <w:p>
      <w:pPr>
        <w:pStyle w:val="FirstParagraph"/>
      </w:pPr>
      <w:r>
        <w:t xml:space="preserve">Явная GL-схема с шагом $h = 1$ день имеет вычислительную сложность $O(T^2)$, поскольку на каждом шаге суммируются взвешенные состояния системы за все предшествующие дни. Для типичных длин волн $T \approx 30$–$150$ дней и числа волн $K = 10$ это не представляет практического препятствия: полная оптимизация по одной волне выполнялась за [t_opt] секунд на стандартном вычислительном узле. Однако при масштабировании метода на многорегиональные наборы данных (все субъекты РФ, N ≈ 85 регионов, 10 волн каждый) суммарная вычислительная нагрузка возрастёт пропорционально и может потребовать параллельной реализации или применения ускорённых алгоритмов суммирования GL-весов (быстрое преобразование Фурье, схемы с усечённой памятью). Разработка вычислительно эффективной реализации для многорегионального анализа является актуальной технической задачей.</w:t>
      </w:r>
    </w:p>
    <w:bookmarkEnd w:id="11"/>
    <w:bookmarkStart w:id="12" w:name="X803dcf1066bdb4104f4db9bdba80ceaf609b482"/>
    <w:p>
      <w:pPr>
        <w:pStyle w:val="Heading3"/>
      </w:pPr>
      <w:r>
        <w:t xml:space="preserve">4.4.4 Отсутствие пространственного и демографического измерения</w:t>
      </w:r>
    </w:p>
    <w:p>
      <w:pPr>
        <w:pStyle w:val="FirstParagraph"/>
      </w:pPr>
      <w:r>
        <w:t xml:space="preserve">Модель предполагает гомогенное перемешивание популяции Пскова, не разделяя её по возрасту, профессиональным группам, географическому распределению внутри города или степени иммунизации. Известно, что этот класс упрощений систематически смещает оценки $R_0$ вверх, поскольку реальная контактная структура снижает эффективную скорость передачи относительно теоретической [2]. Структурированные по возрасту SEIRD-модели (MSEIRD) частично снимают это ограничение, однако требуют возрастной разбивки данных о заболеваемости, которая в используемых источниках недоступна на уровне города. Отсутствие пространственного измерения означает также, что модель не способна воспроизвести динамику, при которой отдельные микрорайоны или учреждения выступали локальными очагами с собственной кинетикой распространения.</w:t>
      </w:r>
    </w:p>
    <w:bookmarkEnd w:id="12"/>
    <w:bookmarkStart w:id="13" w:name="Xd280512b64fd13a26007915dcc7af3d9ad9ad8e"/>
    <w:p>
      <w:pPr>
        <w:pStyle w:val="Heading3"/>
      </w:pPr>
      <w:r>
        <w:t xml:space="preserve">4.4.5 Невозможность независимой валидации α_k</w:t>
      </w:r>
    </w:p>
    <w:p>
      <w:pPr>
        <w:pStyle w:val="FirstParagraph"/>
      </w:pPr>
      <w:r>
        <w:t xml:space="preserve">Важнейшим нерешённым ограничением является отсутствие независимого внешнего критерия для верификации предложенной интерпретации $\hat{\alpha}</w:t>
      </w:r>
      <w:r>
        <w:rPr>
          <w:i/>
          <w:iCs/>
        </w:rPr>
        <w:t xml:space="preserve">k$ как маркера популяционного иммунитета. Прямая верификация потребовала бы данных серологических обследований населения Пскова, синхронизированных по времени с границами эпидемических волн, — данных, которые в открытом доступе для данного города не представлены. Косвенные свидетельства — корреляция $\hat{\alpha}</w:t>
      </w:r>
      <w:r>
        <w:t xml:space="preserve">k$ с кумулятивной заражённостью, $\hat{N}</w:t>
      </w:r>
      <w:r>
        <w:rPr>
          <w:i/>
          <w:iCs/>
        </w:rPr>
        <w:t xml:space="preserve">{\text{eff},k}$ и индексом асимметрии кривой (раздел 3.5) — согласуются с иммунологической гипотезой, однако не являются её строгим доказательством. Альтернативные объяснения убывания $\hat{\alpha}</w:t>
      </w:r>
      <w:r>
        <w:t xml:space="preserve">k$ — нарастающая поведенческая реакция населения, сезонные изменения восприимчивости, артефакты регистрации — не могут быть исключены в рамках настоящего дизайна.</w:t>
      </w:r>
    </w:p>
    <w:bookmarkEnd w:id="13"/>
    <w:bookmarkStart w:id="14" w:name="X70ed335cfeb0c9fe51861bcb8c1b0f437958744"/>
    <w:p>
      <w:pPr>
        <w:pStyle w:val="Heading3"/>
      </w:pPr>
      <w:r>
        <w:t xml:space="preserve">4.4.6 Направления будущих исследований</w:t>
      </w:r>
    </w:p>
    <w:p>
      <w:pPr>
        <w:pStyle w:val="FirstParagraph"/>
      </w:pPr>
      <w:r>
        <w:t xml:space="preserve">Полученные результаты открывают несколько взаимосвязанных перспектив. Первое направление — пространственное обобщение метода: применение поволнового дробного SEIRD-анализа к данным по всем или репрезентативной выборке субъектов РФ позволит проверить, является ли наблюдаемая закономерность убывания $\hat{\alpha}</w:t>
      </w:r>
      <w:r>
        <w:rPr>
          <w:i/>
          <w:iCs/>
        </w:rPr>
        <w:t xml:space="preserve">k$ универсальной для российских городов различного размера и географического положения, или специфична для северо-западного региона. Второе направление — байесовская реализация модели с полным апостериорным распределением по $(\beta, N</w:t>
      </w:r>
      <w:r>
        <w:t xml:space="preserve">{\text{eff}}, \alpha)$, которая обеспечит корректную совместную характеристику неопределённости параметров и позволит тестировать гипотезы об изменении $\alpha_k$ между волнами с учётом коллинеарности.</w:t>
      </w:r>
    </w:p>
    <w:p>
      <w:pPr>
        <w:pStyle w:val="BodyText"/>
      </w:pPr>
      <w:r>
        <w:t xml:space="preserve">Третье направление — включение данных о вакцинации. Официальная статистика охвата вакцинацией по субъектам РФ доступна с конца 2020 года и позволяет ввести в модель явный компартмент вакцинированных (V) с варьирующей по времени и штаммам эффективностью. Это даст возможность частично разделить вклады вакцинального и постинфекционного иммунитета в наблюдаемое убывание $\hat{\alpha}</w:t>
      </w:r>
      <w:r>
        <w:rPr>
          <w:i/>
          <w:iCs/>
        </w:rPr>
        <w:t xml:space="preserve">k$ — что является ключевым условием для превращения $\alpha_k$ из феноменологического маркера в верифицируемую иммунологическую характеристику. Наконец, прогностическое применение $\hat{\alpha}</w:t>
      </w:r>
      <w:r>
        <w:t xml:space="preserve">k$ — оценка данного параметра по ранней (первые 14–21 день) восходящей ветви текущей волны с целью предсказания формы её спада и совокупной нагрузки на систему здравоохранения — представляет значительный практический интерес и является логичным следующим шагом на пути от ретроспективного к оперативному аналитическому применению разработанного подхода.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2026-04-22T02:34:08Z</dcterms:created>
  <dcterms:modified xsi:type="dcterms:W3CDTF">2026-04-22T02:34:08Z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