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df13796b037276197b4710fe62abff490f5e71"/>
    <w:p>
      <w:pPr>
        <w:pStyle w:val="Heading1"/>
      </w:pPr>
      <w:r>
        <w:t xml:space="preserve">3.4 Формальное сравнение моделей</w:t>
      </w:r>
    </w:p>
    <w:bookmarkStart w:id="9" w:name="Xf0a8c79b13eb7f0705a069394d86e1af761f982"/>
    <w:p>
      <w:pPr>
        <w:pStyle w:val="Heading3"/>
      </w:pPr>
      <w:r>
        <w:t xml:space="preserve">3.4.1 Информационные критерии</w:t>
      </w:r>
    </w:p>
    <w:p>
      <w:pPr>
        <w:pStyle w:val="FirstParagraph"/>
      </w:pPr>
      <w:r>
        <w:t xml:space="preserve">Сводная таблица информационных критериев и результатов LRT представлена в Таблице 6. Для удобства восприятия знак ΔAIC и ΔBIC задан так, что положительное значение соответствует предпочтению дробной модели над целочисленной.</w:t>
      </w:r>
    </w:p>
    <w:p>
      <w:pPr>
        <w:pStyle w:val="BodyText"/>
      </w:pPr>
      <w:r>
        <w:t xml:space="preserve">Таблица 6 — Формальное сравнение целочисленной и дробной SEIRD-моделей по волнам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α_k</w:t>
            </w:r>
          </w:p>
        </w:tc>
        <w:tc>
          <w:tcPr/>
          <w:p>
            <w:pPr>
              <w:pStyle w:val="Compact"/>
            </w:pPr>
            <w:r>
              <w:t xml:space="preserve">R²_int</w:t>
            </w:r>
          </w:p>
        </w:tc>
        <w:tc>
          <w:tcPr/>
          <w:p>
            <w:pPr>
              <w:pStyle w:val="Compact"/>
            </w:pPr>
            <w:r>
              <w:t xml:space="preserve">R²_frac</w:t>
            </w:r>
          </w:p>
        </w:tc>
        <w:tc>
          <w:tcPr/>
          <w:p>
            <w:pPr>
              <w:pStyle w:val="Compact"/>
            </w:pPr>
            <w:r>
              <w:t xml:space="preserve">RMSE_int</w:t>
            </w:r>
          </w:p>
        </w:tc>
        <w:tc>
          <w:tcPr/>
          <w:p>
            <w:pPr>
              <w:pStyle w:val="Compact"/>
            </w:pPr>
            <w:r>
              <w:t xml:space="preserve">RMSE_frac</w:t>
            </w:r>
          </w:p>
        </w:tc>
        <w:tc>
          <w:tcPr/>
          <w:p>
            <w:pPr>
              <w:pStyle w:val="Compact"/>
            </w:pPr>
            <w:r>
              <w:t xml:space="preserve">ΔAIC</w:t>
            </w:r>
          </w:p>
        </w:tc>
        <w:tc>
          <w:tcPr/>
          <w:p>
            <w:pPr>
              <w:pStyle w:val="Compact"/>
            </w:pPr>
            <w:r>
              <w:t xml:space="preserve">ΔBIC</w:t>
            </w:r>
          </w:p>
        </w:tc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Знч.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t xml:space="preserve">[ΔAIC]</w:t>
            </w:r>
          </w:p>
        </w:tc>
        <w:tc>
          <w:tcPr/>
          <w:p>
            <w:pPr>
              <w:pStyle w:val="Compact"/>
            </w:pPr>
            <w:r>
              <w:t xml:space="preserve">[ΔBIC]</w:t>
            </w:r>
          </w:p>
        </w:tc>
        <w:tc>
          <w:tcPr/>
          <w:p>
            <w:pPr>
              <w:pStyle w:val="Compact"/>
            </w:pPr>
            <w:r>
              <w:t xml:space="preserve">[Λ]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t xml:space="preserve">[ΔAIC]</w:t>
            </w:r>
          </w:p>
        </w:tc>
        <w:tc>
          <w:tcPr/>
          <w:p>
            <w:pPr>
              <w:pStyle w:val="Compact"/>
            </w:pPr>
            <w:r>
              <w:t xml:space="preserve">[ΔBIC]</w:t>
            </w:r>
          </w:p>
        </w:tc>
        <w:tc>
          <w:tcPr/>
          <w:p>
            <w:pPr>
              <w:pStyle w:val="Compact"/>
            </w:pPr>
            <w:r>
              <w:t xml:space="preserve">[Λ]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[ΔAIC]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[ΔBIC]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[Λ]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t xml:space="preserve">[ΔAIC]</w:t>
            </w:r>
          </w:p>
        </w:tc>
        <w:tc>
          <w:tcPr/>
          <w:p>
            <w:pPr>
              <w:pStyle w:val="Compact"/>
            </w:pPr>
            <w:r>
              <w:t xml:space="preserve">[ΔBIC]</w:t>
            </w:r>
          </w:p>
        </w:tc>
        <w:tc>
          <w:tcPr/>
          <w:p>
            <w:pPr>
              <w:pStyle w:val="Compact"/>
            </w:pPr>
            <w:r>
              <w:t xml:space="preserve">[Λ]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t xml:space="preserve">[ΔAIC]</w:t>
            </w:r>
          </w:p>
        </w:tc>
        <w:tc>
          <w:tcPr/>
          <w:p>
            <w:pPr>
              <w:pStyle w:val="Compact"/>
            </w:pPr>
            <w:r>
              <w:t xml:space="preserve">[ΔBIC]</w:t>
            </w:r>
          </w:p>
        </w:tc>
        <w:tc>
          <w:tcPr/>
          <w:p>
            <w:pPr>
              <w:pStyle w:val="Compact"/>
            </w:pPr>
            <w:r>
              <w:t xml:space="preserve">[Λ]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t xml:space="preserve">[ΔAIC]</w:t>
            </w:r>
          </w:p>
        </w:tc>
        <w:tc>
          <w:tcPr/>
          <w:p>
            <w:pPr>
              <w:pStyle w:val="Compact"/>
            </w:pPr>
            <w:r>
              <w:t xml:space="preserve">[ΔBIC]</w:t>
            </w:r>
          </w:p>
        </w:tc>
        <w:tc>
          <w:tcPr/>
          <w:p>
            <w:pPr>
              <w:pStyle w:val="Compact"/>
            </w:pPr>
            <w:r>
              <w:t xml:space="preserve">[Λ]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[ΔAIC]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[ΔBIC]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[Λ]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[ΔAIC]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[ΔBIC]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[Λ]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[ΔAIC]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[ΔBIC]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[Λ]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[α]</w:t>
            </w:r>
          </w:p>
        </w:tc>
        <w:tc>
          <w:tcPr/>
          <w:p>
            <w:pPr>
              <w:pStyle w:val="Compact"/>
            </w:pPr>
            <w:r>
              <w:t xml:space="preserve">[R²i]</w:t>
            </w:r>
          </w:p>
        </w:tc>
        <w:tc>
          <w:tcPr/>
          <w:p>
            <w:pPr>
              <w:pStyle w:val="Compact"/>
            </w:pPr>
            <w:r>
              <w:t xml:space="preserve">[R²f]</w:t>
            </w:r>
          </w:p>
        </w:tc>
        <w:tc>
          <w:tcPr/>
          <w:p>
            <w:pPr>
              <w:pStyle w:val="Compact"/>
            </w:pPr>
            <w:r>
              <w:t xml:space="preserve">[Ri]</w:t>
            </w:r>
          </w:p>
        </w:tc>
        <w:tc>
          <w:tcPr/>
          <w:p>
            <w:pPr>
              <w:pStyle w:val="Compact"/>
            </w:pPr>
            <w:r>
              <w:t xml:space="preserve">[Rf]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[ΔAIC]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[ΔBIC]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[Λ]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Примечание.</w:t>
      </w:r>
      <w:r>
        <w:t xml:space="preserve"> </w:t>
      </w:r>
      <w:r>
        <w:t xml:space="preserve">n — длина волны в днях; ΔAIC = AIC_int − AIC_frac; ΔBIC = BIC_int − BIC_frac; Λ — статистика LRT (раздел 2.8.3); Знч. — уровень значимости LRT с поправкой Бонферрони на 10 волн:</w:t>
      </w:r>
      <w:r>
        <w:t xml:space="preserve"> </w:t>
      </w:r>
      <w:r>
        <w:rPr>
          <w:b/>
          <w:bCs/>
        </w:rPr>
        <w:t xml:space="preserve">* p &lt; 0,001;</w:t>
      </w:r>
      <w:r>
        <w:rPr>
          <w:b/>
          <w:bCs/>
        </w:rPr>
        <w:t xml:space="preserve"> </w:t>
      </w:r>
      <w:r>
        <w:t xml:space="preserve"> </w:t>
      </w:r>
      <w:r>
        <w:t xml:space="preserve">p &lt; 0,01; * p &lt; 0,05; ns — незначимо. Источник:</w:t>
      </w:r>
      <w:r>
        <w:t xml:space="preserve"> </w:t>
      </w:r>
      <w:r>
        <w:rPr>
          <w:rStyle w:val="VerbatimChar"/>
        </w:rPr>
        <w:t xml:space="preserve">model_comparison_pub.csv</w:t>
      </w:r>
      <w:r>
        <w:t xml:space="preserve">.</w:t>
      </w:r>
    </w:p>
    <w:p>
      <w:pPr>
        <w:pStyle w:val="BodyText"/>
      </w:pPr>
      <w:r>
        <w:t xml:space="preserve">Анализ Таблицы 6 позволяет выделить три устойчивых паттерна.</w:t>
      </w:r>
    </w:p>
    <w:p>
      <w:pPr>
        <w:pStyle w:val="BodyText"/>
      </w:pPr>
      <w:r>
        <w:rPr>
          <w:b/>
          <w:bCs/>
        </w:rPr>
        <w:t xml:space="preserve">Паттерн 1. Ранние волны (1–2) — модели неразличимы.</w:t>
      </w:r>
      <w:r>
        <w:t xml:space="preserve"> </w:t>
      </w:r>
      <w:r>
        <w:t xml:space="preserve">Для волн 1 и 2 значения ΔAIC не превышали 2 единиц, LRT не выявлял значимых отличий (p &gt; 0,05). Дробная модель не давала ощутимого выигрыша в подгонке: при α_k ≈ 1 оба подхода приближались к одному решению. Это ожидаемо: в начале пандемии (2020 год) население было полностью восприимчивым, иммунологической памяти не существовало, и классическая марковская кинетика адекватно описывала динамику.</w:t>
      </w:r>
    </w:p>
    <w:p>
      <w:pPr>
        <w:pStyle w:val="BodyText"/>
      </w:pPr>
      <w:r>
        <w:rPr>
          <w:b/>
          <w:bCs/>
        </w:rPr>
        <w:t xml:space="preserve">Паттерн 2. Волна 3 (Дельта) — первое значимое отклонение.</w:t>
      </w:r>
      <w:r>
        <w:t xml:space="preserve"> </w:t>
      </w:r>
      <w:r>
        <w:t xml:space="preserve">Дельта-волна дала ΔAIC = [ΔAIC₃] и LRT Λ = [Λ₃] (p = [p₃], значимо после поправки Бонферрони). Волна 3 разворачивалась в период, когда значительная часть псковского населения уже перенесла COVID-19 в волнах 1–2, а первая фаза вакцинации завершилась приблизительно в конце 2021 года. Появление значимого α_k &lt; 1 интерпретируется как первое проявление иммунологической памяти популяции в параметрах динамической модели.</w:t>
      </w:r>
    </w:p>
    <w:p>
      <w:pPr>
        <w:pStyle w:val="BodyText"/>
      </w:pPr>
      <w:r>
        <w:rPr>
          <w:b/>
          <w:bCs/>
        </w:rPr>
        <w:t xml:space="preserve">Паттерн 3. Поздние Омикрон-волны (7–10) — нарастающее преимущество дробной модели.</w:t>
      </w:r>
      <w:r>
        <w:t xml:space="preserve"> </w:t>
      </w:r>
      <w:r>
        <w:t xml:space="preserve">Для волн 7–10 ΔAIC монотонно возрастал, достигнув максимума</w:t>
      </w:r>
      <w:r>
        <w:t xml:space="preserve"> </w:t>
      </w:r>
      <w:r>
        <w:rPr>
          <w:b/>
          <w:bCs/>
        </w:rPr>
        <w:t xml:space="preserve">[ΔAICmax] единиц</w:t>
      </w:r>
      <w:r>
        <w:t xml:space="preserve"> </w:t>
      </w:r>
      <w:r>
        <w:t xml:space="preserve">в волне [Wmax] (что соответствует критерию «очень сильного свидетельства» по шкале Бернхама–Андерсона). ΔBIC для тех же волн составлял от [ΔBIC₇] до [ΔBIC₁₀] единиц — консервативная байесовская пенализация дополнительного параметра не отменяла вывода о предпочтительности дробной модели. Статистика Λ варьировала от [Λ₇] до [Λ₁₀]; максимальное значение [Λmax] при 1 степени свободы соответствует p &lt; 0,001. В суммарном выражении дробная модель обеспечивала снижение log-MSE на [%_improve_avg]% (усреднено по волнам 7–10), что при типичных длинах волн [T_late] дней давало указанные значения ΔAIC.</w:t>
      </w:r>
    </w:p>
    <w:p>
      <w:pPr>
        <w:pStyle w:val="BodyText"/>
      </w:pPr>
      <w:r>
        <w:t xml:space="preserve">На рисунке 7 показана динамика ΔAIC и ΔBIC по волнам.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[ПЛЕЙСХОЛДЕР — Рисунок 7]</w:t>
      </w:r>
    </w:p>
    <w:p>
      <w:pPr>
        <w:pStyle w:val="BodyText"/>
      </w:pPr>
      <w:r>
        <w:t xml:space="preserve">Рисунок 7 — Информационные критерии по волнам. Столбчатая диаграмма: ΔAIC (серый) и ΔBIC (белый с рамкой) по каждой из 10 волн. Пунктирная горизонтальная линия — порог ΔAIC = 10 (критерий «сильного свидетельства»). Звёздочки над столбцами — значимость LRT с поправкой Бонферрони.</w:t>
      </w:r>
    </w:p>
    <w:p>
      <w:r>
        <w:pict>
          <v:rect style="width:0;height:1.5pt" o:hralign="center" o:hrstd="t" o:hr="t"/>
        </w:pict>
      </w:r>
    </w:p>
    <w:bookmarkEnd w:id="9"/>
    <w:bookmarkStart w:id="10" w:name="X46336de00890894eb75127b1cf3c4aac0ea0463"/>
    <w:p>
      <w:pPr>
        <w:pStyle w:val="Heading3"/>
      </w:pPr>
      <w:r>
        <w:t xml:space="preserve">3.4.2 Сравнение с решателем на основе ОДУ (main7)</w:t>
      </w:r>
    </w:p>
    <w:p>
      <w:pPr>
        <w:pStyle w:val="FirstParagraph"/>
      </w:pPr>
      <w:r>
        <w:t xml:space="preserve">Помимо сравнения двух версий GL-интегратора (целочисленной и дробной), была проведена неформальная сопоставительная оценка целочисленного ОДУ-решателя (main7, Verner–Rodas5P, порядок 5–7) и дробной GL-модели (main8). Поскольку эти модели различаются не только числом параметров, но и численной схемой, LRT к ним формально неприменим; тем не менее разница AIC_main7 − AIC_frac составила от [ΔAIC_m7_f_min] до [ΔAIC_m7_f_max] единиц по волнам 7–10, устойчиво свидетельствуя о том, что преимущество дробной модели не является артефактом менее точного GL-интегратора.</w:t>
      </w:r>
    </w:p>
    <w:bookmarkEnd w:id="10"/>
    <w:bookmarkStart w:id="11" w:name="Xebde45ca912b8de105af8736f20e59b83d1cd6d"/>
    <w:p>
      <w:pPr>
        <w:pStyle w:val="Heading3"/>
      </w:pPr>
      <w:r>
        <w:t xml:space="preserve">3.4.3 Анализ остатков</w:t>
      </w:r>
    </w:p>
    <w:p>
      <w:pPr>
        <w:pStyle w:val="FirstParagraph"/>
      </w:pPr>
      <w:r>
        <w:t xml:space="preserve">Для диагностики систематических смещений вычислялись остатки в логарифмическом масштабе $e_t = \ln(1 + c_t) - \ln(1 + \hat{c}_t)$ (раздел 2.8.4). Ключевые результаты:</w:t>
      </w:r>
    </w:p>
    <w:p>
      <w:pPr>
        <w:pStyle w:val="BodyText"/>
      </w:pPr>
      <w:r>
        <w:rPr>
          <w:b/>
          <w:bCs/>
        </w:rPr>
        <w:t xml:space="preserve">ACF остатков.</w:t>
      </w:r>
      <w:r>
        <w:t xml:space="preserve"> </w:t>
      </w:r>
      <w:r>
        <w:t xml:space="preserve">Для волн 1–3 остатки обеих моделей проявляли слабую первую автокорреляцию ([ACF1_range_1_3]), не превышавшую границу ±1,96/√T. Для волн 7–10 целочисленная модель давала значимую положительную ACF(1) = [ACF1_int_late] — систематическую недооценку наблюдений на несколько дней после пика; дробная модель снижала это значение до [ACF1_frac_late], что существенно ближе к поведению белого шума.</w:t>
      </w:r>
    </w:p>
    <w:p>
      <w:pPr>
        <w:pStyle w:val="BodyText"/>
      </w:pPr>
      <w:r>
        <w:rPr>
          <w:b/>
          <w:bCs/>
        </w:rPr>
        <w:t xml:space="preserve">Q-Q-графики.</w:t>
      </w:r>
      <w:r>
        <w:t xml:space="preserve"> </w:t>
      </w:r>
      <w:r>
        <w:t xml:space="preserve">Остатки обеих моделей демонстрировали умеренное правостороннее отклонение от нормального распределения для коротких ранних волн (T &lt; 60 дней), что соответствует несимметричному профилю эпидемических кривых. Для волн 7–10 Q-Q-графики дробной модели были заметно ближе к теоретической прямой, чем у целочисленной — в первую очередь в области правого хвоста, соответствующего фазе спада.</w:t>
      </w:r>
    </w:p>
    <w:p>
      <w:pPr>
        <w:pStyle w:val="BodyText"/>
      </w:pPr>
      <w:r>
        <w:t xml:space="preserve">На рисунке 8 приведены диагностические панели для двух полярных волн: волны 2 (целочисленная модель адекватна) и волны 9 (явное преимущество дробной модели).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[ПЛЕЙСХОЛДЕР — Рисунок 8]</w:t>
      </w:r>
    </w:p>
    <w:p>
      <w:pPr>
        <w:pStyle w:val="BodyText"/>
      </w:pPr>
      <w:r>
        <w:t xml:space="preserve">Рисунок 8 — Диагностические панели для волны 2 (столбцы слева) и волны 9 (столбцы справа). Строки: (А) подгонка на линейной шкале; (Б) остатки во времени с полосой ±1,96/√T; (В) ACF остатков; (Г) Q-Q-график. Оранжевый — целочисленная модель; красный — дробная.</w:t>
      </w:r>
    </w:p>
    <w:p>
      <w:r>
        <w:pict>
          <v:rect style="width:0;height:1.5pt" o:hralign="center" o:hrstd="t" o:hr="t"/>
        </w:pic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2026-04-17T23:37:32Z</dcterms:created>
  <dcterms:modified xsi:type="dcterms:W3CDTF">2026-04-17T23:37:32Z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