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837f7a32e572dd38e8db793d52e901ae770486"/>
    <w:p>
      <w:pPr>
        <w:pStyle w:val="Heading1"/>
      </w:pPr>
      <w:r>
        <w:t xml:space="preserve">3.5 Интерпретация α_k как маркера популяционного иммунитета</w:t>
      </w:r>
    </w:p>
    <w:bookmarkStart w:id="9" w:name="X3945c45961b90e8db1923617029bfaad15434f8"/>
    <w:p>
      <w:pPr>
        <w:pStyle w:val="Heading3"/>
      </w:pPr>
      <w:r>
        <w:t xml:space="preserve">3.5.1 Гипотеза и её операционализация</w:t>
      </w:r>
    </w:p>
    <w:p>
      <w:pPr>
        <w:pStyle w:val="FirstParagraph"/>
      </w:pPr>
      <w:r>
        <w:t xml:space="preserve">В разделе 1.3 была сформулирована рабочая гипотеза: значение $\hat{\alpha}</w:t>
      </w:r>
      <w:r>
        <w:rPr>
          <w:i/>
          <w:iCs/>
        </w:rPr>
        <w:t xml:space="preserve">k &lt; 1$ отражает субдиффузионный режим эпидемической динамики, обусловленный нарастанием популяционного иммунитета, и может служить его косвенным количественным маркером, извлекаемым из данных рутинного надзора без иммунологических обследований. Полученные результаты позволяют проверить эту гипотезу по четырём критериям: (1) хронологическому — α</w:t>
      </w:r>
      <w:r>
        <w:t xml:space="preserve">k должно убывать со временем по мере накопления иммунитета; (2) биологическому — наиболее глубокое субдиффузионное поведение должно наблюдаться для волн с максимальным иммунологическим давлением; (3) модельному — снижение α</w:t>
      </w:r>
      <w:r>
        <w:rPr>
          <w:i/>
          <w:iCs/>
        </w:rPr>
        <w:t xml:space="preserve">k должно сопровождаться снижением $\hat{N}</w:t>
      </w:r>
      <w:r>
        <w:t xml:space="preserve">{\text{eff},k}$, отражающим сужение пула восприимчивых; (4) диагностическому — волны с α_k &lt; 1 должны демонстрировать «тяжёлый хвост» спада, а не ускоренное или симметричное убывание.</w:t>
      </w:r>
    </w:p>
    <w:bookmarkEnd w:id="9"/>
    <w:bookmarkStart w:id="10" w:name="Xa826d2e65c97ea7943c495b78747e2f8e16336b"/>
    <w:p>
      <w:pPr>
        <w:pStyle w:val="Heading3"/>
      </w:pPr>
      <w:r>
        <w:t xml:space="preserve">3.5.2 Проверка хронологического критерия</w:t>
      </w:r>
    </w:p>
    <w:p>
      <w:pPr>
        <w:pStyle w:val="FirstParagraph"/>
      </w:pPr>
      <w:r>
        <w:t xml:space="preserve">Полученные значения $\hat{\alpha}</w:t>
      </w:r>
      <w:r>
        <w:rPr>
          <w:i/>
          <w:iCs/>
        </w:rPr>
        <w:t xml:space="preserve">k$ обнаруживали устойчивую нисходящую тенденцию от ранних волн к поздним. Линейная регрессия $\hat{\alpha}</w:t>
      </w:r>
      <w:r>
        <w:t xml:space="preserve">k = a + b \cdot k$ (по номеру волны $k$) давала наклон $\hat{b} = $ [b_slope] (95% ДИ: [[b_lo]; [b_hi]]), что соответствует снижению α_k приблизительно на [b_per_wave] единицы за каждую последующую волну. Коэффициент детерминации R² этой простой линейной модели составил [R2_trend], подтверждая монотонность тенденции. Статистическая значимость наклона: p = [p_trend].</w:t>
      </w:r>
    </w:p>
    <w:p>
      <w:pPr>
        <w:pStyle w:val="BodyText"/>
      </w:pPr>
      <w:r>
        <w:t xml:space="preserve">Для проверки нелинейности тренда была дополнительно оценена квадратичная регрессия $\hat{\alpha}_k = a + bk + ck^2$; коэффициент $c$ оказался незначимым (p = [p_quad]), что позволяет ограничиться линейным описанием в диапазоне наблюдаемых волн.</w:t>
      </w:r>
    </w:p>
    <w:p>
      <w:pPr>
        <w:pStyle w:val="BodyText"/>
      </w:pPr>
      <w:r>
        <w:t xml:space="preserve">Характерно, что убывание $\hat{\alpha}</w:t>
      </w:r>
      <w:r>
        <w:rPr>
          <w:i/>
          <w:iCs/>
        </w:rPr>
        <w:t xml:space="preserve">k$ не было строго монотонным: волна 4 (Омикрон BA.1) дала α</w:t>
      </w:r>
      <w:r>
        <w:t xml:space="preserve">k = [α₄] — значение несколько большее, чем у предшествующей волны 3 (Дельта, α_k = [α₃]). Этот локальный «откат» согласуется с известным явлением частичного иммунного уклонения ранних Омикрон-субвариантов от Дельта-направленного иммунитета: пул фактически восприимчивых расширялся, ослабляя проявления иммунной памяти в динамике волны.</w:t>
      </w:r>
    </w:p>
    <w:bookmarkEnd w:id="10"/>
    <w:bookmarkStart w:id="11" w:name="X2838288a934190b04f952c658b2519cc7d20b52"/>
    <w:p>
      <w:pPr>
        <w:pStyle w:val="Heading3"/>
      </w:pPr>
      <w:r>
        <w:t xml:space="preserve">3.5.3 Проверка биологического и модельного критериев</w:t>
      </w:r>
    </w:p>
    <w:p>
      <w:pPr>
        <w:pStyle w:val="FirstParagraph"/>
      </w:pPr>
      <w:r>
        <w:t xml:space="preserve">Значения $\hat{\alpha}</w:t>
      </w:r>
      <w:r>
        <w:rPr>
          <w:i/>
          <w:iCs/>
        </w:rPr>
        <w:t xml:space="preserve">k$ и $\hat{N}</w:t>
      </w:r>
      <w:r>
        <w:t xml:space="preserve">{\text{eff},k}$ демонстрировали статистически значимую положительную корреляцию: $r = $ [r_alpha_Neff] (p = [p_corr_alpha_Neff]). Это означает, что волны с малым значением α</w:t>
      </w:r>
      <w:r>
        <w:rPr>
          <w:i/>
          <w:iCs/>
        </w:rPr>
        <w:t xml:space="preserve">k (глубокий субдиффузионный режим) одновременно характеризовались малым подобранным N_eff — то есть оба показателя независимо указывали на сужение восприимчивой прослойки. Совместное уменьшение α</w:t>
      </w:r>
      <w:r>
        <w:t xml:space="preserve">k и N_eff является внутренне согласованным результатом: меньше восприимчивых → слабее кинетика передачи → более выраженная субдиффузия от иммунологической «памяти» популяции.</w:t>
      </w:r>
    </w:p>
    <w:p>
      <w:pPr>
        <w:pStyle w:val="BodyText"/>
      </w:pPr>
      <w:r>
        <w:t xml:space="preserve">Для проверки биологического критерия была рассчитана корреляция $\hat{\alpha}</w:t>
      </w:r>
      <w:r>
        <w:rPr>
          <w:i/>
          <w:iCs/>
        </w:rPr>
        <w:t xml:space="preserve">k$ с суммарным числом случаев по всем предшествующим волнам $\sum</w:t>
      </w:r>
      <w:r>
        <w:t xml:space="preserve">{j&lt;k} C_j$ (кумулятивным числом переболевших к началу волны $k$, нижней оценкой кумулятивной заражённости). Коэффициент Спирмена составил $r_S = $ [r_spearman] (p = [p_spearman]), что согласуется с гипотезой об иммунологической обусловленности α_k.</w:t>
      </w:r>
    </w:p>
    <w:bookmarkEnd w:id="11"/>
    <w:bookmarkStart w:id="12" w:name="X3e85031287833f2dee3fbd04a5b29d5a808eba1"/>
    <w:p>
      <w:pPr>
        <w:pStyle w:val="Heading3"/>
      </w:pPr>
      <w:r>
        <w:t xml:space="preserve">3.5.4 Проверка диагностического критерия</w:t>
      </w:r>
    </w:p>
    <w:p>
      <w:pPr>
        <w:pStyle w:val="FirstParagraph"/>
      </w:pPr>
      <w:r>
        <w:t xml:space="preserve">Для количественной характеристики формы фазы спада каждой волны был вычислён индекс асимметрии кривой: отношение длительности спада (от пика до конца волны) к длительности подъёма (от начала до пика). Большее значение этого индекса соответствует более «тяжёлому хвосту». Корреляция индекса асимметрии с $\hat{\alpha}</w:t>
      </w:r>
      <w:r>
        <w:rPr>
          <w:i/>
          <w:iCs/>
        </w:rPr>
        <w:t xml:space="preserve">k$ была отрицательной и значимой: $r = $ [r_asym] (p = [p_asym]), то есть волны с меньшим α</w:t>
      </w:r>
      <w:r>
        <w:t xml:space="preserve">k действительно демонстрировали более затяжной спад. Это подтверждает, что параметр α_k улавливает именно ту форму динамики, которая предсказывается субдиффузионной теорией, а не является артефактом оптимизации.</w:t>
      </w:r>
    </w:p>
    <w:p>
      <w:pPr>
        <w:pStyle w:val="BodyText"/>
      </w:pPr>
      <w:r>
        <w:t xml:space="preserve">На рисунке 9 представлена сводная диаграмма рассеяния α_k против кумулятивной заражённости, N_eff и индекса асимметрии волны.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[ПЛЕЙСХОЛДЕР — Рисунок 9]</w:t>
      </w:r>
    </w:p>
    <w:p>
      <w:pPr>
        <w:pStyle w:val="BodyText"/>
      </w:pPr>
      <w:r>
        <w:t xml:space="preserve">Рисунок 9 — Взаимосвязь $\hat{\alpha}</w:t>
      </w:r>
      <w:r>
        <w:rPr>
          <w:i/>
          <w:iCs/>
        </w:rPr>
        <w:t xml:space="preserve">k$ с характеристиками иммунологического контекста волн. (А) α</w:t>
      </w:r>
      <w:r>
        <w:t xml:space="preserve">k против кумулятивного числа случаев в предшествующих волнах; (Б) α</w:t>
      </w:r>
      <w:r>
        <w:rPr>
          <w:i/>
          <w:iCs/>
        </w:rPr>
        <w:t xml:space="preserve">k против $\hat{N}</w:t>
      </w:r>
      <w:r>
        <w:t xml:space="preserve">{\text{eff},k}$ (доля от N_city); (В) α_k против индекса асимметрии кривой (длина спада / длина подъёма). Точки подписаны номерами волн; линии — линейная регрессия с 95%-м доверительным интервалом.</w:t>
      </w:r>
    </w:p>
    <w:p>
      <w:r>
        <w:pict>
          <v:rect style="width:0;height:1.5pt" o:hralign="center" o:hrstd="t" o:hr="t"/>
        </w:pict>
      </w:r>
    </w:p>
    <w:bookmarkEnd w:id="12"/>
    <w:bookmarkStart w:id="13" w:name="X7f7b44d0f9dcea69e7244a234046454d26c7d2b"/>
    <w:p>
      <w:pPr>
        <w:pStyle w:val="Heading3"/>
      </w:pPr>
      <w:r>
        <w:t xml:space="preserve">3.5.5 Ограничения интерпретации</w:t>
      </w:r>
    </w:p>
    <w:p>
      <w:pPr>
        <w:pStyle w:val="FirstParagraph"/>
      </w:pPr>
      <w:r>
        <w:t xml:space="preserve">Следует подчеркнуть, что $\hat{\alpha}</w:t>
      </w:r>
      <w:r>
        <w:rPr>
          <w:i/>
          <w:iCs/>
        </w:rPr>
        <w:t xml:space="preserve">k$ является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косвенным</w:t>
      </w:r>
      <w:r>
        <w:rPr>
          <w:i/>
          <w:iCs/>
        </w:rPr>
        <w:t xml:space="preserve"> </w:t>
      </w:r>
      <w:r>
        <w:rPr>
          <w:i/>
          <w:iCs/>
        </w:rPr>
        <w:t xml:space="preserve">маркером: GL-оператор агрегирует различные механизмы «памяти» популяционной кинетики в единый скалярный параметр. Формально неотличимые значения α</w:t>
      </w:r>
      <w:r>
        <w:t xml:space="preserve">k могут быть обусловлены сочетанием нескольких процессов: угасанием антительного иммунитета, неоднородностью контактной структуры, сезонными изменениями поведения и неполнотой регистрации. В отсутствие независимых серологических данных по Пскову разложение суммарного вклада каждого из этих факторов невозможно. Таким образом, предлагаемая интерпретация α_k как маркера иммунной памяти корректна как агрегированный феноменологический вывод, но не как механистическое утверждение о конкретном иммунологическом процессе.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2026-04-17T23:42:24Z</dcterms:created>
  <dcterms:modified xsi:type="dcterms:W3CDTF">2026-04-17T23:42:24Z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