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DA798" w14:textId="77777777" w:rsidR="0012042A" w:rsidRPr="0012042A" w:rsidRDefault="0012042A" w:rsidP="00CF19FD">
      <w:pPr>
        <w:spacing w:after="210"/>
        <w:rPr>
          <w:rFonts w:asciiTheme="majorHAnsi" w:hAnsiTheme="majorHAnsi" w:cstheme="majorHAnsi"/>
        </w:rPr>
      </w:pPr>
      <w:bookmarkStart w:id="0" w:name="динамическая_модель_оценки_технол_6702e5"/>
      <w:r w:rsidRPr="0012042A">
        <w:rPr>
          <w:rFonts w:asciiTheme="majorHAnsi" w:eastAsia="source serif 4" w:hAnsiTheme="majorHAnsi" w:cstheme="majorHAnsi"/>
          <w:b/>
          <w:color w:val="000000"/>
        </w:rPr>
        <w:t>УДК 330.4; 332.1</w:t>
      </w:r>
    </w:p>
    <w:p w14:paraId="3123592F" w14:textId="22C9864D" w:rsidR="0012042A" w:rsidRDefault="0012042A" w:rsidP="00CF19FD">
      <w:pPr>
        <w:spacing w:after="210"/>
        <w:jc w:val="right"/>
        <w:rPr>
          <w:rFonts w:asciiTheme="majorHAnsi" w:eastAsia="source serif 4" w:hAnsiTheme="majorHAnsi" w:cstheme="majorHAnsi"/>
          <w:color w:val="000000"/>
        </w:rPr>
      </w:pPr>
      <w:r w:rsidRPr="0012042A">
        <w:rPr>
          <w:rFonts w:asciiTheme="majorHAnsi" w:eastAsia="source serif 4" w:hAnsiTheme="majorHAnsi" w:cstheme="majorHAnsi"/>
          <w:b/>
          <w:color w:val="000000"/>
        </w:rPr>
        <w:t>Андреянова И.В.</w:t>
      </w:r>
      <w:r w:rsidRPr="0012042A">
        <w:rPr>
          <w:rFonts w:asciiTheme="majorHAnsi" w:eastAsia="source serif 4" w:hAnsiTheme="majorHAnsi" w:cstheme="majorHAnsi"/>
          <w:color w:val="000000"/>
        </w:rPr>
        <w:br/>
        <w:t xml:space="preserve">канд. </w:t>
      </w:r>
      <w:r>
        <w:rPr>
          <w:rFonts w:asciiTheme="majorHAnsi" w:eastAsia="source serif 4" w:hAnsiTheme="majorHAnsi" w:cstheme="majorHAnsi"/>
          <w:color w:val="000000"/>
        </w:rPr>
        <w:t>юридических</w:t>
      </w:r>
      <w:r w:rsidRPr="0012042A">
        <w:rPr>
          <w:rFonts w:asciiTheme="majorHAnsi" w:eastAsia="source serif 4" w:hAnsiTheme="majorHAnsi" w:cstheme="majorHAnsi"/>
          <w:color w:val="000000"/>
        </w:rPr>
        <w:t>. наук, доцент</w:t>
      </w:r>
      <w:r w:rsidRPr="0012042A">
        <w:rPr>
          <w:rFonts w:asciiTheme="majorHAnsi" w:eastAsia="source serif 4" w:hAnsiTheme="majorHAnsi" w:cstheme="majorHAnsi"/>
          <w:color w:val="000000"/>
        </w:rPr>
        <w:br/>
      </w:r>
      <w:r>
        <w:rPr>
          <w:rFonts w:asciiTheme="majorHAnsi" w:eastAsia="source serif 4" w:hAnsiTheme="majorHAnsi" w:cstheme="majorHAnsi"/>
          <w:color w:val="000000"/>
        </w:rPr>
        <w:t>Фонд развития ИНТЦ ЮНИТИ ПАРК</w:t>
      </w:r>
      <w:r w:rsidRPr="0012042A">
        <w:rPr>
          <w:rFonts w:asciiTheme="majorHAnsi" w:eastAsia="source serif 4" w:hAnsiTheme="majorHAnsi" w:cstheme="majorHAnsi"/>
          <w:color w:val="000000"/>
        </w:rPr>
        <w:br/>
        <w:t xml:space="preserve">г. </w:t>
      </w:r>
      <w:r>
        <w:rPr>
          <w:rFonts w:asciiTheme="majorHAnsi" w:eastAsia="source serif 4" w:hAnsiTheme="majorHAnsi" w:cstheme="majorHAnsi"/>
          <w:color w:val="000000"/>
        </w:rPr>
        <w:t>Сургут</w:t>
      </w:r>
      <w:r w:rsidRPr="0012042A">
        <w:rPr>
          <w:rFonts w:asciiTheme="majorHAnsi" w:eastAsia="source serif 4" w:hAnsiTheme="majorHAnsi" w:cstheme="majorHAnsi"/>
          <w:color w:val="000000"/>
        </w:rPr>
        <w:t>, Россия</w:t>
      </w:r>
    </w:p>
    <w:p w14:paraId="21868565" w14:textId="77777777" w:rsidR="0012042A" w:rsidRPr="0012042A" w:rsidRDefault="0012042A" w:rsidP="00CF19FD">
      <w:pPr>
        <w:spacing w:after="210"/>
        <w:rPr>
          <w:rFonts w:asciiTheme="majorHAnsi" w:hAnsiTheme="majorHAnsi" w:cstheme="majorHAnsi"/>
        </w:rPr>
      </w:pPr>
    </w:p>
    <w:p w14:paraId="195B62BA" w14:textId="513D04FE" w:rsidR="00715F81" w:rsidRPr="0012042A" w:rsidRDefault="0012042A" w:rsidP="00CF19FD">
      <w:pPr>
        <w:spacing w:before="157" w:after="157"/>
        <w:jc w:val="center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b/>
          <w:color w:val="000000"/>
        </w:rPr>
        <w:t>ДИНАМИЧЕСКАЯ МОДЕЛЬ ОЦЕНКИ ТЕХНОЛОГИЧЕСКОГО И СОЦИАЛЬНО-ЭКОНОМИЧЕСКОГО ПОТЕНЦИАЛА РЕСУРСОДОБЫВАЮЩЕГО РЕГИОНА (НА ПРИМЕРЕ ХМАО–ЮГРЫ)</w:t>
      </w:r>
      <w:bookmarkEnd w:id="0"/>
    </w:p>
    <w:p w14:paraId="17B74DE8" w14:textId="2A9493A0" w:rsidR="00715F81" w:rsidRPr="00CF19FD" w:rsidRDefault="00000000" w:rsidP="00CF19FD">
      <w:pPr>
        <w:spacing w:before="315" w:after="105"/>
        <w:ind w:left="-30" w:firstLine="597"/>
        <w:jc w:val="both"/>
        <w:rPr>
          <w:rFonts w:asciiTheme="majorHAnsi" w:eastAsia="source serif 4" w:hAnsiTheme="majorHAnsi" w:cstheme="majorHAnsi"/>
          <w:color w:val="000000"/>
        </w:rPr>
      </w:pPr>
      <w:bookmarkStart w:id="1" w:name="аннотация"/>
      <w:r w:rsidRPr="0012042A">
        <w:rPr>
          <w:rFonts w:asciiTheme="majorHAnsi" w:eastAsia="source serif 4" w:hAnsiTheme="majorHAnsi" w:cstheme="majorHAnsi"/>
          <w:b/>
          <w:color w:val="000000"/>
        </w:rPr>
        <w:t>Аннотация</w:t>
      </w:r>
      <w:bookmarkEnd w:id="1"/>
      <w:r w:rsidR="0012042A">
        <w:rPr>
          <w:rFonts w:asciiTheme="majorHAnsi" w:eastAsia="source serif 4" w:hAnsiTheme="majorHAnsi" w:cstheme="majorHAnsi"/>
          <w:b/>
          <w:color w:val="000000"/>
        </w:rPr>
        <w:t xml:space="preserve">. </w:t>
      </w:r>
      <w:r w:rsidR="00022457" w:rsidRPr="00022457">
        <w:rPr>
          <w:rFonts w:asciiTheme="majorHAnsi" w:eastAsia="source serif 4" w:hAnsiTheme="majorHAnsi" w:cstheme="majorHAnsi"/>
          <w:color w:val="000000"/>
        </w:rPr>
        <w:t>В статье предложена динамическая модель оценки технологического и социально-экономического потенциала ресурсодобывающего региона на примере ХМАО–Югры. Модель учитывает инвестиционно-инновационную активность и экологическую нагрузку, использует нормированные интегральные индексы и сценарные расчёты в Python. Результаты моделирования за 2024–2030 годы показывают преимущество комбинированного сценария, сочетающего технологическую модернизацию и природоохранные меры.</w:t>
      </w:r>
    </w:p>
    <w:p w14:paraId="276CC03F" w14:textId="77777777" w:rsidR="0012042A" w:rsidRPr="0012042A" w:rsidRDefault="0012042A" w:rsidP="00CF19FD">
      <w:pPr>
        <w:spacing w:before="315" w:after="105"/>
        <w:ind w:left="-30" w:firstLine="597"/>
        <w:jc w:val="both"/>
        <w:rPr>
          <w:rFonts w:asciiTheme="majorHAnsi" w:hAnsiTheme="majorHAnsi" w:cstheme="majorHAnsi"/>
        </w:rPr>
      </w:pPr>
    </w:p>
    <w:p w14:paraId="6E34880F" w14:textId="77777777" w:rsidR="00715F81" w:rsidRDefault="00000000" w:rsidP="00CF19FD">
      <w:pPr>
        <w:spacing w:after="210"/>
        <w:ind w:firstLine="567"/>
        <w:jc w:val="both"/>
        <w:rPr>
          <w:rFonts w:asciiTheme="majorHAnsi" w:eastAsia="source serif 4" w:hAnsiTheme="majorHAnsi" w:cstheme="majorHAnsi"/>
          <w:color w:val="000000"/>
        </w:rPr>
      </w:pPr>
      <w:r w:rsidRPr="0012042A">
        <w:rPr>
          <w:rFonts w:asciiTheme="majorHAnsi" w:eastAsia="source serif 4" w:hAnsiTheme="majorHAnsi" w:cstheme="majorHAnsi"/>
          <w:b/>
          <w:color w:val="000000"/>
        </w:rPr>
        <w:t>Ключевые слова:</w:t>
      </w:r>
      <w:r w:rsidRPr="0012042A">
        <w:rPr>
          <w:rFonts w:asciiTheme="majorHAnsi" w:eastAsia="source serif 4" w:hAnsiTheme="majorHAnsi" w:cstheme="majorHAnsi"/>
          <w:color w:val="000000"/>
        </w:rPr>
        <w:t xml:space="preserve"> ресурсодобывающий регион; ХМАО–Югра; устойчивое развитие; технологический потенциал; социально-экономический потенциал; промышленная политика; динамическая модель; дифференциальные уравнения.</w:t>
      </w:r>
    </w:p>
    <w:p w14:paraId="39538C53" w14:textId="77777777" w:rsidR="0012042A" w:rsidRPr="0012042A" w:rsidRDefault="0012042A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</w:p>
    <w:p w14:paraId="70548BED" w14:textId="77777777" w:rsidR="00715F81" w:rsidRPr="0012042A" w:rsidRDefault="00000000" w:rsidP="00CF19FD">
      <w:pPr>
        <w:spacing w:before="315" w:after="105"/>
        <w:ind w:left="-30" w:firstLine="597"/>
        <w:rPr>
          <w:rFonts w:asciiTheme="majorHAnsi" w:hAnsiTheme="majorHAnsi" w:cstheme="majorHAnsi"/>
        </w:rPr>
      </w:pPr>
      <w:bookmarkStart w:id="2" w:name="введение"/>
      <w:r w:rsidRPr="0012042A">
        <w:rPr>
          <w:rFonts w:asciiTheme="majorHAnsi" w:eastAsia="source serif 4" w:hAnsiTheme="majorHAnsi" w:cstheme="majorHAnsi"/>
          <w:b/>
          <w:color w:val="000000"/>
        </w:rPr>
        <w:t>Введение</w:t>
      </w:r>
      <w:bookmarkEnd w:id="2"/>
    </w:p>
    <w:p w14:paraId="7688F343" w14:textId="2E1CF35D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Ресурсодобывающие регионы сохраняют ключевое значение для социально-экономического развития Российской Федерации, обеспечения энергетической безопасности и формирования бюджетных доходов</w:t>
      </w:r>
      <w:r w:rsidR="00D21072">
        <w:rPr>
          <w:rFonts w:asciiTheme="majorHAnsi" w:eastAsia="source serif 4" w:hAnsiTheme="majorHAnsi" w:cstheme="majorHAnsi"/>
          <w:color w:val="000000"/>
        </w:rPr>
        <w:t xml:space="preserve"> </w:t>
      </w:r>
      <w:r w:rsidR="00D21072" w:rsidRPr="00D21072">
        <w:rPr>
          <w:rFonts w:asciiTheme="majorHAnsi" w:eastAsia="source serif 4" w:hAnsiTheme="majorHAnsi" w:cstheme="majorHAnsi"/>
          <w:b/>
          <w:bCs/>
          <w:color w:val="000000"/>
        </w:rPr>
        <w:t>[5]</w:t>
      </w:r>
      <w:r w:rsidRPr="0012042A">
        <w:rPr>
          <w:rFonts w:asciiTheme="majorHAnsi" w:eastAsia="source serif 4" w:hAnsiTheme="majorHAnsi" w:cstheme="majorHAnsi"/>
          <w:color w:val="000000"/>
        </w:rPr>
        <w:t>. Вместе с тем специализация на добыче углеводородного сырья сопровождается рисками технологической зависимости, высокой чувствительностью к колебаниям внешней конъюнктуры, экологическими ограничениями и неравномерностью пространственного развития</w:t>
      </w:r>
      <w:r w:rsidR="00D21072" w:rsidRPr="00D21072">
        <w:rPr>
          <w:rFonts w:asciiTheme="majorHAnsi" w:eastAsia="source serif 4" w:hAnsiTheme="majorHAnsi" w:cstheme="majorHAnsi"/>
          <w:color w:val="000000"/>
        </w:rPr>
        <w:t xml:space="preserve"> </w:t>
      </w:r>
      <w:r w:rsidR="00D21072" w:rsidRPr="00D21072">
        <w:rPr>
          <w:rFonts w:asciiTheme="majorHAnsi" w:eastAsia="source serif 4" w:hAnsiTheme="majorHAnsi" w:cstheme="majorHAnsi"/>
          <w:b/>
          <w:bCs/>
          <w:color w:val="000000"/>
        </w:rPr>
        <w:t>[10</w:t>
      </w:r>
      <w:r w:rsidR="00D21072">
        <w:rPr>
          <w:rFonts w:asciiTheme="majorHAnsi" w:eastAsia="source serif 4" w:hAnsiTheme="majorHAnsi" w:cstheme="majorHAnsi"/>
          <w:b/>
          <w:bCs/>
          <w:color w:val="000000"/>
        </w:rPr>
        <w:t>; 11</w:t>
      </w:r>
      <w:r w:rsidR="00D21072" w:rsidRPr="00D21072">
        <w:rPr>
          <w:rFonts w:asciiTheme="majorHAnsi" w:eastAsia="source serif 4" w:hAnsiTheme="majorHAnsi" w:cstheme="majorHAnsi"/>
          <w:b/>
          <w:bCs/>
          <w:color w:val="000000"/>
        </w:rPr>
        <w:t>]</w:t>
      </w:r>
      <w:r w:rsidRPr="0012042A">
        <w:rPr>
          <w:rFonts w:asciiTheme="majorHAnsi" w:eastAsia="source serif 4" w:hAnsiTheme="majorHAnsi" w:cstheme="majorHAnsi"/>
          <w:color w:val="000000"/>
        </w:rPr>
        <w:t>. Для Ханты-Мансийского автономного округа – Югры эти обстоятельства определяют необходимость согласования промышленной политики, инновационного развития, накопления человеческого капитала и природоохранной деятельности</w:t>
      </w:r>
      <w:r w:rsidR="00520BCC" w:rsidRPr="00520BCC">
        <w:rPr>
          <w:rFonts w:asciiTheme="majorHAnsi" w:eastAsia="source serif 4" w:hAnsiTheme="majorHAnsi" w:cstheme="majorHAnsi"/>
          <w:color w:val="000000"/>
        </w:rPr>
        <w:t xml:space="preserve"> </w:t>
      </w:r>
      <w:r w:rsidR="00520BCC" w:rsidRPr="00520BCC">
        <w:rPr>
          <w:rFonts w:asciiTheme="majorHAnsi" w:eastAsia="source serif 4" w:hAnsiTheme="majorHAnsi" w:cstheme="majorHAnsi"/>
          <w:b/>
          <w:bCs/>
          <w:color w:val="000000"/>
        </w:rPr>
        <w:t>[3]</w:t>
      </w:r>
      <w:r w:rsidRPr="0012042A">
        <w:rPr>
          <w:rFonts w:asciiTheme="majorHAnsi" w:eastAsia="source serif 4" w:hAnsiTheme="majorHAnsi" w:cstheme="majorHAnsi"/>
          <w:color w:val="000000"/>
        </w:rPr>
        <w:t>.</w:t>
      </w:r>
    </w:p>
    <w:p w14:paraId="7EE94E64" w14:textId="55DD5D16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В исследованиях региональных инновационных систем подчеркивается, что инновационное развитие возникает не как линейный результат вложений в исследования и разработки, а как следствие взаимодействия предприятий, государства, научно-образовательных организаций и институтов развития </w:t>
      </w:r>
      <w:r w:rsidRPr="00520BCC">
        <w:rPr>
          <w:rFonts w:asciiTheme="majorHAnsi" w:eastAsia="source serif 4" w:hAnsiTheme="majorHAnsi" w:cstheme="majorHAnsi"/>
          <w:b/>
          <w:bCs/>
          <w:color w:val="000000"/>
        </w:rPr>
        <w:t>[</w:t>
      </w:r>
      <w:r w:rsidR="00520BCC" w:rsidRPr="00520BCC">
        <w:rPr>
          <w:rFonts w:asciiTheme="majorHAnsi" w:eastAsia="source serif 4" w:hAnsiTheme="majorHAnsi" w:cstheme="majorHAnsi"/>
          <w:b/>
          <w:bCs/>
          <w:color w:val="000000"/>
        </w:rPr>
        <w:t>7</w:t>
      </w:r>
      <w:r w:rsidRPr="00520BCC">
        <w:rPr>
          <w:rFonts w:asciiTheme="majorHAnsi" w:eastAsia="source serif 4" w:hAnsiTheme="majorHAnsi" w:cstheme="majorHAnsi"/>
          <w:b/>
          <w:bCs/>
          <w:color w:val="000000"/>
        </w:rPr>
        <w:t xml:space="preserve">; </w:t>
      </w:r>
      <w:r w:rsidR="00520BCC" w:rsidRPr="00520BCC">
        <w:rPr>
          <w:rFonts w:asciiTheme="majorHAnsi" w:eastAsia="source serif 4" w:hAnsiTheme="majorHAnsi" w:cstheme="majorHAnsi"/>
          <w:b/>
          <w:bCs/>
          <w:color w:val="000000"/>
        </w:rPr>
        <w:t>6</w:t>
      </w:r>
      <w:r w:rsidRPr="00520BCC">
        <w:rPr>
          <w:rFonts w:asciiTheme="majorHAnsi" w:eastAsia="source serif 4" w:hAnsiTheme="majorHAnsi" w:cstheme="majorHAnsi"/>
          <w:b/>
          <w:bCs/>
          <w:color w:val="000000"/>
        </w:rPr>
        <w:t>]</w:t>
      </w:r>
      <w:r w:rsidRPr="0012042A">
        <w:rPr>
          <w:rFonts w:asciiTheme="majorHAnsi" w:eastAsia="source serif 4" w:hAnsiTheme="majorHAnsi" w:cstheme="majorHAnsi"/>
          <w:color w:val="000000"/>
        </w:rPr>
        <w:t xml:space="preserve">. Концепция тройной спирали Г. </w:t>
      </w:r>
      <w:proofErr w:type="spellStart"/>
      <w:r w:rsidRPr="0012042A">
        <w:rPr>
          <w:rFonts w:asciiTheme="majorHAnsi" w:eastAsia="source serif 4" w:hAnsiTheme="majorHAnsi" w:cstheme="majorHAnsi"/>
          <w:color w:val="000000"/>
        </w:rPr>
        <w:t>Ицковица</w:t>
      </w:r>
      <w:proofErr w:type="spellEnd"/>
      <w:r w:rsidRPr="0012042A">
        <w:rPr>
          <w:rFonts w:asciiTheme="majorHAnsi" w:eastAsia="source serif 4" w:hAnsiTheme="majorHAnsi" w:cstheme="majorHAnsi"/>
          <w:color w:val="000000"/>
        </w:rPr>
        <w:t xml:space="preserve"> и Л. </w:t>
      </w:r>
      <w:proofErr w:type="spellStart"/>
      <w:r w:rsidRPr="0012042A">
        <w:rPr>
          <w:rFonts w:asciiTheme="majorHAnsi" w:eastAsia="source serif 4" w:hAnsiTheme="majorHAnsi" w:cstheme="majorHAnsi"/>
          <w:color w:val="000000"/>
        </w:rPr>
        <w:t>Лейдесдорфа</w:t>
      </w:r>
      <w:proofErr w:type="spellEnd"/>
      <w:r w:rsidRPr="0012042A">
        <w:rPr>
          <w:rFonts w:asciiTheme="majorHAnsi" w:eastAsia="source serif 4" w:hAnsiTheme="majorHAnsi" w:cstheme="majorHAnsi"/>
          <w:color w:val="000000"/>
        </w:rPr>
        <w:t xml:space="preserve"> позволяет рассматривать такие взаимодействия как основу производства и распространения знаний </w:t>
      </w:r>
      <w:r w:rsidRPr="00520BCC">
        <w:rPr>
          <w:rFonts w:asciiTheme="majorHAnsi" w:eastAsia="source serif 4" w:hAnsiTheme="majorHAnsi" w:cstheme="majorHAnsi"/>
          <w:b/>
          <w:bCs/>
          <w:color w:val="000000"/>
        </w:rPr>
        <w:t>[</w:t>
      </w:r>
      <w:r w:rsidR="00520BCC" w:rsidRPr="00520BCC">
        <w:rPr>
          <w:rFonts w:asciiTheme="majorHAnsi" w:eastAsia="source serif 4" w:hAnsiTheme="majorHAnsi" w:cstheme="majorHAnsi"/>
          <w:b/>
          <w:bCs/>
          <w:color w:val="000000"/>
        </w:rPr>
        <w:t>8</w:t>
      </w:r>
      <w:r w:rsidRPr="00520BCC">
        <w:rPr>
          <w:rFonts w:asciiTheme="majorHAnsi" w:eastAsia="source serif 4" w:hAnsiTheme="majorHAnsi" w:cstheme="majorHAnsi"/>
          <w:b/>
          <w:bCs/>
          <w:color w:val="000000"/>
        </w:rPr>
        <w:t>]</w:t>
      </w:r>
      <w:r w:rsidRPr="0012042A">
        <w:rPr>
          <w:rFonts w:asciiTheme="majorHAnsi" w:eastAsia="source serif 4" w:hAnsiTheme="majorHAnsi" w:cstheme="majorHAnsi"/>
          <w:color w:val="000000"/>
        </w:rPr>
        <w:t>. Для ресурсодобывающего региона требуется дополнить данный подход учетом экологического фактора и ограничений, связанных с природно-ресурсной специализацией.</w:t>
      </w:r>
    </w:p>
    <w:p w14:paraId="577158AC" w14:textId="25E6E6FA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В современной литературе устойчивое развитие регионов оценивается преимущественно посредством систем статистических показателей и интегральных индексов </w:t>
      </w:r>
      <w:r w:rsidRPr="00520BCC">
        <w:rPr>
          <w:rFonts w:asciiTheme="majorHAnsi" w:eastAsia="source serif 4" w:hAnsiTheme="majorHAnsi" w:cstheme="majorHAnsi"/>
          <w:b/>
          <w:bCs/>
          <w:color w:val="000000"/>
        </w:rPr>
        <w:t>[</w:t>
      </w:r>
      <w:r w:rsidR="00520BCC" w:rsidRPr="00520BCC">
        <w:rPr>
          <w:rFonts w:asciiTheme="majorHAnsi" w:eastAsia="source serif 4" w:hAnsiTheme="majorHAnsi" w:cstheme="majorHAnsi"/>
          <w:b/>
          <w:bCs/>
          <w:color w:val="000000"/>
        </w:rPr>
        <w:t>1</w:t>
      </w:r>
      <w:r w:rsidRPr="00520BCC">
        <w:rPr>
          <w:rFonts w:asciiTheme="majorHAnsi" w:eastAsia="source serif 4" w:hAnsiTheme="majorHAnsi" w:cstheme="majorHAnsi"/>
          <w:b/>
          <w:bCs/>
          <w:color w:val="000000"/>
        </w:rPr>
        <w:t xml:space="preserve">; </w:t>
      </w:r>
      <w:r w:rsidR="00520BCC" w:rsidRPr="00520BCC">
        <w:rPr>
          <w:rFonts w:asciiTheme="majorHAnsi" w:eastAsia="source serif 4" w:hAnsiTheme="majorHAnsi" w:cstheme="majorHAnsi"/>
          <w:b/>
          <w:bCs/>
          <w:color w:val="000000"/>
        </w:rPr>
        <w:t>2</w:t>
      </w:r>
      <w:r w:rsidRPr="00520BCC">
        <w:rPr>
          <w:rFonts w:asciiTheme="majorHAnsi" w:eastAsia="source serif 4" w:hAnsiTheme="majorHAnsi" w:cstheme="majorHAnsi"/>
          <w:b/>
          <w:bCs/>
          <w:color w:val="000000"/>
        </w:rPr>
        <w:t>]</w:t>
      </w:r>
      <w:r w:rsidRPr="0012042A">
        <w:rPr>
          <w:rFonts w:asciiTheme="majorHAnsi" w:eastAsia="source serif 4" w:hAnsiTheme="majorHAnsi" w:cstheme="majorHAnsi"/>
          <w:color w:val="000000"/>
        </w:rPr>
        <w:t xml:space="preserve">. Такие оценки позволяют установить текущее положение территории, однако в меньшей степени объясняют взаимное влияние технологических, социальных, инвестиционных и экологических факторов во времени. Методы системной динамики и имитационного </w:t>
      </w:r>
      <w:r w:rsidRPr="0012042A">
        <w:rPr>
          <w:rFonts w:asciiTheme="majorHAnsi" w:eastAsia="source serif 4" w:hAnsiTheme="majorHAnsi" w:cstheme="majorHAnsi"/>
          <w:color w:val="000000"/>
        </w:rPr>
        <w:lastRenderedPageBreak/>
        <w:t xml:space="preserve">моделирования, напротив, предназначены для анализа систем с обратными связями и оценки последствий альтернативных управленческих воздействий </w:t>
      </w:r>
      <w:r w:rsidRPr="00520BCC">
        <w:rPr>
          <w:rFonts w:asciiTheme="majorHAnsi" w:eastAsia="source serif 4" w:hAnsiTheme="majorHAnsi" w:cstheme="majorHAnsi"/>
          <w:b/>
          <w:bCs/>
          <w:color w:val="000000"/>
        </w:rPr>
        <w:t>[</w:t>
      </w:r>
      <w:r w:rsidR="00520BCC" w:rsidRPr="00520BCC">
        <w:rPr>
          <w:rFonts w:asciiTheme="majorHAnsi" w:eastAsia="source serif 4" w:hAnsiTheme="majorHAnsi" w:cstheme="majorHAnsi"/>
          <w:b/>
          <w:bCs/>
          <w:color w:val="000000"/>
        </w:rPr>
        <w:t>12</w:t>
      </w:r>
      <w:r w:rsidRPr="00520BCC">
        <w:rPr>
          <w:rFonts w:asciiTheme="majorHAnsi" w:eastAsia="source serif 4" w:hAnsiTheme="majorHAnsi" w:cstheme="majorHAnsi"/>
          <w:b/>
          <w:bCs/>
          <w:color w:val="000000"/>
        </w:rPr>
        <w:t xml:space="preserve">; </w:t>
      </w:r>
      <w:r w:rsidR="00520BCC" w:rsidRPr="00520BCC">
        <w:rPr>
          <w:rFonts w:asciiTheme="majorHAnsi" w:eastAsia="source serif 4" w:hAnsiTheme="majorHAnsi" w:cstheme="majorHAnsi"/>
          <w:b/>
          <w:bCs/>
          <w:color w:val="000000"/>
        </w:rPr>
        <w:t>9</w:t>
      </w:r>
      <w:r w:rsidRPr="00520BCC">
        <w:rPr>
          <w:rFonts w:asciiTheme="majorHAnsi" w:eastAsia="source serif 4" w:hAnsiTheme="majorHAnsi" w:cstheme="majorHAnsi"/>
          <w:b/>
          <w:bCs/>
          <w:color w:val="000000"/>
        </w:rPr>
        <w:t>]</w:t>
      </w:r>
      <w:r w:rsidRPr="0012042A">
        <w:rPr>
          <w:rFonts w:asciiTheme="majorHAnsi" w:eastAsia="source serif 4" w:hAnsiTheme="majorHAnsi" w:cstheme="majorHAnsi"/>
          <w:color w:val="000000"/>
        </w:rPr>
        <w:t>.</w:t>
      </w:r>
    </w:p>
    <w:p w14:paraId="56977FB4" w14:textId="6E9642ED" w:rsidR="00CF19FD" w:rsidRPr="00CF19FD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Цель исследования состоит в разработке динамической модели, обеспечивающей сценарную оценку взаимосвязанного изменения технологического и социально-экономического потенциала ресурсодобывающего региона с учетом инвестиционно-инновационной активности и экологической нагрузки. Объектом апробации выступает Ханты-Мансийский автономный округ – Югра.</w:t>
      </w:r>
      <w:r w:rsidR="00CF19FD" w:rsidRPr="00CF19FD">
        <w:rPr>
          <w:rFonts w:asciiTheme="majorHAnsi" w:eastAsia="source serif 4" w:hAnsiTheme="majorHAnsi" w:cstheme="majorHAnsi"/>
          <w:color w:val="000000"/>
        </w:rPr>
        <w:t xml:space="preserve"> </w:t>
      </w:r>
      <w:r w:rsidR="00CF19FD">
        <w:rPr>
          <w:rFonts w:asciiTheme="majorHAnsi" w:eastAsia="source serif 4" w:hAnsiTheme="majorHAnsi" w:cstheme="majorHAnsi"/>
          <w:color w:val="000000"/>
        </w:rPr>
        <w:t>Проблема исследования</w:t>
      </w:r>
      <w:r w:rsidR="00CF19FD" w:rsidRPr="00CF19FD">
        <w:rPr>
          <w:rFonts w:asciiTheme="majorHAnsi" w:eastAsia="source serif 4" w:hAnsiTheme="majorHAnsi" w:cstheme="majorHAnsi"/>
          <w:color w:val="000000"/>
        </w:rPr>
        <w:t xml:space="preserve"> состоит в том, позволяют ли согласованные технологические и природоохранные меры улучшить траекторию развития региона по сравнению с раздельным применением этих мер при одинаковых макроэкономических и ресурсных предпосылках.</w:t>
      </w:r>
      <w:r w:rsidR="00CF19FD">
        <w:rPr>
          <w:rFonts w:asciiTheme="majorHAnsi" w:eastAsia="source serif 4" w:hAnsiTheme="majorHAnsi" w:cstheme="majorHAnsi"/>
          <w:color w:val="000000"/>
        </w:rPr>
        <w:t xml:space="preserve"> Следует отметить, что н</w:t>
      </w:r>
      <w:r w:rsidR="00CF19FD" w:rsidRPr="00CF19FD">
        <w:rPr>
          <w:rFonts w:asciiTheme="majorHAnsi" w:eastAsia="source serif 4" w:hAnsiTheme="majorHAnsi" w:cstheme="majorHAnsi"/>
          <w:color w:val="000000"/>
        </w:rPr>
        <w:t>а данном этапе модель используется как инструмент предварительного сценарного анализа. Представленные коэффициенты не являются результатом эконометрической оценки по региональным временным рядам.</w:t>
      </w:r>
    </w:p>
    <w:p w14:paraId="35C58C90" w14:textId="7E7FB3B9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  <w:b/>
          <w:bCs/>
        </w:rPr>
      </w:pPr>
      <w:bookmarkStart w:id="3" w:name="методический_подход"/>
      <w:r w:rsidRPr="0012042A">
        <w:rPr>
          <w:rFonts w:asciiTheme="majorHAnsi" w:eastAsia="source serif 4" w:hAnsiTheme="majorHAnsi" w:cstheme="majorHAnsi"/>
          <w:b/>
          <w:bCs/>
          <w:color w:val="000000"/>
        </w:rPr>
        <w:t>Методи</w:t>
      </w:r>
      <w:bookmarkEnd w:id="3"/>
      <w:r w:rsidR="00CF19FD">
        <w:rPr>
          <w:rFonts w:asciiTheme="majorHAnsi" w:eastAsia="source serif 4" w:hAnsiTheme="majorHAnsi" w:cstheme="majorHAnsi"/>
          <w:b/>
          <w:bCs/>
          <w:color w:val="000000"/>
        </w:rPr>
        <w:t>ка</w:t>
      </w:r>
    </w:p>
    <w:p w14:paraId="76AE32C5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Под технологическим потенциалом региона понимается совокупная способность региональной экономики создавать, внедрять и распространять новые технологические решения. Его эмпирическая оценка может включать показатели затрат на исследования и разработки, численности исследователей и инженерно-технического персонала, объема инновационной продукции, патентной активности, обеспеченности цифровой и производственной инфраструктурой.</w:t>
      </w:r>
    </w:p>
    <w:p w14:paraId="13DEB431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Социально-экономический потенциал характеризует способность территории обеспечивать устойчивое воспроизводство доходов, занятости, квалифицированных кадров и качества жизни населения. В его состав могут быть включены валовой региональный продукт на душу населения, производительность труда, инвестиции в основной капитал, реальные доходы населения, занятость, миграционное сальдо и параметры социальной инфраструктуры.</w:t>
      </w:r>
    </w:p>
    <w:p w14:paraId="61B382C2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Инвестиционно-инновационная активность отражает объем и направленность ресурсов, используемых для технологического обновления экономики. В качестве исходных индикаторов могут применяться инвестиции в основной капитал, внутренние затраты на исследования и разработки, затраты организаций на технологические инновации, число инновационно активных организаций и объем государственной поддержки инновационных проектов.</w:t>
      </w:r>
    </w:p>
    <w:p w14:paraId="3EAC26D7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Экологическая нагрузка трактуется как интегральная характеристика антропогенного воздействия на природную среду региона. Ее оценка может основываться на данных о выбросах загрязняющих веществ, образовании отходов, нарушенных землях, сбросах загрязненных сточных вод, аварийности на объектах добычи и затратах на охрану окружающей среды.</w:t>
      </w:r>
    </w:p>
    <w:p w14:paraId="6D5AE231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Для каждого блока рекомендуется сформировать нормированный интегральный индекс. Для показателя-стимулятора используется преобразование:</w:t>
      </w:r>
    </w:p>
    <w:p w14:paraId="52A454B5" w14:textId="77777777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)=</m:t>
              </m:r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(</m:t>
                  </m:r>
                  <m:r>
                    <w:rPr>
                      <w:rFonts w:ascii="Cambria Math" w:hAnsi="Cambria Math" w:cstheme="majorHAnsi"/>
                      <w:color w:val="00000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)-min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max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-min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.</m:t>
              </m:r>
              <m:r>
                <w:rPr>
                  <w:rFonts w:ascii="Cambria Math" w:hAnsi="Cambria Math" w:cstheme="majorHAnsi"/>
                  <w:color w:val="000000"/>
                </w:rPr>
                <m:t>#(1)</m:t>
              </m:r>
            </m:e>
          </m:eqArr>
        </m:oMath>
      </m:oMathPara>
    </w:p>
    <w:p w14:paraId="0552749B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Для показателя-</w:t>
      </w:r>
      <w:proofErr w:type="spellStart"/>
      <w:r w:rsidRPr="0012042A">
        <w:rPr>
          <w:rFonts w:asciiTheme="majorHAnsi" w:eastAsia="source serif 4" w:hAnsiTheme="majorHAnsi" w:cstheme="majorHAnsi"/>
          <w:color w:val="000000"/>
        </w:rPr>
        <w:t>дестимулятора</w:t>
      </w:r>
      <w:proofErr w:type="spellEnd"/>
      <w:r w:rsidRPr="0012042A">
        <w:rPr>
          <w:rFonts w:asciiTheme="majorHAnsi" w:eastAsia="source serif 4" w:hAnsiTheme="majorHAnsi" w:cstheme="majorHAnsi"/>
          <w:color w:val="000000"/>
        </w:rPr>
        <w:t xml:space="preserve"> применяется обратное нормирование:</w:t>
      </w:r>
    </w:p>
    <w:p w14:paraId="47501169" w14:textId="77777777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)=</m:t>
              </m:r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max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(</m:t>
                  </m:r>
                  <m:r>
                    <w:rPr>
                      <w:rFonts w:ascii="Cambria Math" w:hAnsi="Cambria Math" w:cstheme="majorHAnsi"/>
                      <w:color w:val="00000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max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-min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.</m:t>
              </m:r>
              <m:r>
                <w:rPr>
                  <w:rFonts w:ascii="Cambria Math" w:hAnsi="Cambria Math" w:cstheme="majorHAnsi"/>
                  <w:color w:val="000000"/>
                </w:rPr>
                <m:t>#(2)</m:t>
              </m:r>
            </m:e>
          </m:eqArr>
        </m:oMath>
      </m:oMathPara>
    </w:p>
    <w:p w14:paraId="65B8BE56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Интегральный индекс соответствующего блока определяется как взвешенная сумма нормированных показателей:</w:t>
      </w:r>
    </w:p>
    <w:p w14:paraId="7B6AD73C" w14:textId="77777777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r>
                <w:rPr>
                  <w:rFonts w:ascii="Cambria Math" w:hAnsi="Cambria Math" w:cstheme="majorHAnsi"/>
                  <w:color w:val="00000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theme="majorHAnsi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=1</m:t>
                  </m:r>
                </m:sub>
                <m:sup>
                  <m:r>
                    <w:rPr>
                      <w:rFonts w:ascii="Cambria Math" w:hAnsi="Cambria Math" w:cstheme="majorHAnsi"/>
                      <w:color w:val="000000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 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 xml:space="preserve">), 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theme="majorHAnsi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=1</m:t>
                  </m:r>
                </m:sub>
                <m:sup>
                  <m:r>
                    <w:rPr>
                      <w:rFonts w:ascii="Cambria Math" w:hAnsi="Cambria Math" w:cstheme="majorHAnsi"/>
                      <w:color w:val="000000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 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=1,</m:t>
              </m:r>
              <m:r>
                <w:rPr>
                  <w:rFonts w:ascii="Cambria Math" w:hAnsi="Cambria Math" w:cstheme="majorHAnsi"/>
                  <w:color w:val="000000"/>
                </w:rPr>
                <m:t>#(3)</m:t>
              </m:r>
            </m:e>
          </m:eqArr>
        </m:oMath>
      </m:oMathPara>
    </w:p>
    <w:p w14:paraId="4CD00B83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где </w:t>
      </w:r>
      <m:oMath>
        <m:r>
          <w:rPr>
            <w:rFonts w:ascii="Cambria Math" w:hAnsi="Cambria Math" w:cstheme="majorHAnsi"/>
            <w:color w:val="000000"/>
          </w:rPr>
          <m:t>X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один из индексов </w:t>
      </w:r>
      <m:oMath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, </w:t>
      </w:r>
      <m:oMath>
        <m:r>
          <w:rPr>
            <w:rFonts w:ascii="Cambria Math" w:hAnsi="Cambria Math" w:cstheme="majorHAnsi"/>
            <w:color w:val="000000"/>
          </w:rPr>
          <m:t>S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, </w:t>
      </w:r>
      <m:oMath>
        <m:r>
          <w:rPr>
            <w:rFonts w:ascii="Cambria Math" w:hAnsi="Cambria Math" w:cstheme="majorHAnsi"/>
            <w:color w:val="000000"/>
          </w:rPr>
          <m:t>I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или </w:t>
      </w:r>
      <m:oMath>
        <m:r>
          <w:rPr>
            <w:rFonts w:ascii="Cambria Math" w:hAnsi="Cambria Math" w:cstheme="majorHAnsi"/>
            <w:color w:val="000000"/>
          </w:rPr>
          <m:t>E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;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w</m:t>
            </m:r>
          </m:e>
          <m:sub>
            <m:r>
              <w:rPr>
                <w:rFonts w:ascii="Cambria Math" w:hAnsi="Cambria Math" w:cstheme="majorHAnsi"/>
                <w:color w:val="000000"/>
              </w:rPr>
              <m:t>i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вес i-го показателя. Веса могут определяться равномерно, экспертным методом, методом главных компонент либо на основе энтропийного подхода. Для первой апробации модели целесообразно применить равные веса с последующим анализом чувствительности результата к их изменению.</w:t>
      </w:r>
    </w:p>
    <w:p w14:paraId="64567E06" w14:textId="77777777" w:rsidR="00715F81" w:rsidRPr="0012042A" w:rsidRDefault="00000000" w:rsidP="00CF19FD">
      <w:pPr>
        <w:spacing w:before="315" w:after="105"/>
        <w:ind w:left="-30"/>
        <w:rPr>
          <w:rFonts w:asciiTheme="majorHAnsi" w:hAnsiTheme="majorHAnsi" w:cstheme="majorHAnsi"/>
        </w:rPr>
      </w:pPr>
      <w:bookmarkStart w:id="4" w:name="динамическая_модель"/>
      <w:r w:rsidRPr="0012042A">
        <w:rPr>
          <w:rFonts w:asciiTheme="majorHAnsi" w:eastAsia="source serif 4" w:hAnsiTheme="majorHAnsi" w:cstheme="majorHAnsi"/>
          <w:b/>
          <w:color w:val="000000"/>
        </w:rPr>
        <w:t>Динамическая модель</w:t>
      </w:r>
      <w:bookmarkEnd w:id="4"/>
    </w:p>
    <w:p w14:paraId="652D996C" w14:textId="46BD9BB5" w:rsidR="00715F81" w:rsidRDefault="00000000" w:rsidP="00CF19FD">
      <w:pPr>
        <w:spacing w:after="210"/>
        <w:ind w:firstLine="567"/>
        <w:jc w:val="both"/>
        <w:rPr>
          <w:rFonts w:asciiTheme="majorHAnsi" w:eastAsia="source serif 4" w:hAnsiTheme="majorHAnsi" w:cstheme="majorHAnsi"/>
          <w:color w:val="000000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Состояние региональной системы описывается четырьмя переменными: </w:t>
      </w:r>
      <m:oMath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технологический потенциал; </w:t>
      </w:r>
      <m:oMath>
        <m:r>
          <w:rPr>
            <w:rFonts w:ascii="Cambria Math" w:hAnsi="Cambria Math" w:cstheme="majorHAnsi"/>
            <w:color w:val="000000"/>
          </w:rPr>
          <m:t>S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социально-экономический потенциал; </w:t>
      </w:r>
      <m:oMath>
        <m:r>
          <w:rPr>
            <w:rFonts w:ascii="Cambria Math" w:hAnsi="Cambria Math" w:cstheme="majorHAnsi"/>
            <w:color w:val="000000"/>
          </w:rPr>
          <m:t>I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инвестиционно-инновационная активность; </w:t>
      </w:r>
      <m:oMath>
        <m:r>
          <w:rPr>
            <w:rFonts w:ascii="Cambria Math" w:hAnsi="Cambria Math" w:cstheme="majorHAnsi"/>
            <w:color w:val="000000"/>
          </w:rPr>
          <m:t>E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экологическая нагрузка. Все переменные измеряются в нормированной шкале от 0 до 1 либо в стандартизированной безразмерной шкале.</w:t>
      </w:r>
      <w:r w:rsidR="00CF19FD">
        <w:rPr>
          <w:rFonts w:asciiTheme="majorHAnsi" w:eastAsia="source serif 4" w:hAnsiTheme="majorHAnsi" w:cstheme="majorHAnsi"/>
          <w:color w:val="000000"/>
        </w:rPr>
        <w:t xml:space="preserve"> </w:t>
      </w:r>
      <w:r w:rsidR="00CF19FD" w:rsidRPr="00CF19FD">
        <w:rPr>
          <w:rFonts w:asciiTheme="majorHAnsi" w:eastAsia="source serif 4" w:hAnsiTheme="majorHAnsi" w:cstheme="majorHAnsi"/>
          <w:color w:val="000000"/>
        </w:rPr>
        <w:t>Официальные данные используются для формирования наблюдаемых индексов и исходного состояния системы. Значения управленческих воздействий после 2024 года задаются как сценарные предположения и не интерпретируются как официальный прогноз органов власти.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6"/>
        <w:gridCol w:w="2949"/>
        <w:gridCol w:w="5133"/>
      </w:tblGrid>
      <w:tr w:rsidR="00CF19FD" w:rsidRPr="00CF19FD" w14:paraId="305FF828" w14:textId="77777777" w:rsidTr="00CF19FD">
        <w:tc>
          <w:tcPr>
            <w:tcW w:w="0" w:type="auto"/>
            <w:hideMark/>
          </w:tcPr>
          <w:p w14:paraId="686ADDAB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CF19FD">
              <w:rPr>
                <w:rFonts w:asciiTheme="majorHAnsi" w:hAnsiTheme="majorHAnsi" w:cstheme="majorHAnsi"/>
                <w:b/>
                <w:bCs/>
              </w:rPr>
              <w:t>Переменная</w:t>
            </w:r>
          </w:p>
        </w:tc>
        <w:tc>
          <w:tcPr>
            <w:tcW w:w="0" w:type="auto"/>
            <w:hideMark/>
          </w:tcPr>
          <w:p w14:paraId="66C6D1F2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CF19FD">
              <w:rPr>
                <w:rFonts w:asciiTheme="majorHAnsi" w:hAnsiTheme="majorHAnsi" w:cstheme="majorHAnsi"/>
                <w:b/>
                <w:bCs/>
              </w:rPr>
              <w:t>Интерпретация</w:t>
            </w:r>
          </w:p>
        </w:tc>
        <w:tc>
          <w:tcPr>
            <w:tcW w:w="0" w:type="auto"/>
            <w:hideMark/>
          </w:tcPr>
          <w:p w14:paraId="74710F2C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CF19FD">
              <w:rPr>
                <w:rFonts w:asciiTheme="majorHAnsi" w:hAnsiTheme="majorHAnsi" w:cstheme="majorHAnsi"/>
                <w:b/>
                <w:bCs/>
              </w:rPr>
              <w:t>Предлагаемые данные</w:t>
            </w:r>
          </w:p>
        </w:tc>
      </w:tr>
      <w:tr w:rsidR="00CF19FD" w:rsidRPr="00CF19FD" w14:paraId="30F4615D" w14:textId="77777777" w:rsidTr="00CF19FD">
        <w:tc>
          <w:tcPr>
            <w:tcW w:w="0" w:type="auto"/>
            <w:hideMark/>
          </w:tcPr>
          <w:p w14:paraId="6CBFE308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T(t)</w:t>
            </w:r>
          </w:p>
        </w:tc>
        <w:tc>
          <w:tcPr>
            <w:tcW w:w="0" w:type="auto"/>
            <w:hideMark/>
          </w:tcPr>
          <w:p w14:paraId="18759535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Технологический потенциал</w:t>
            </w:r>
          </w:p>
        </w:tc>
        <w:tc>
          <w:tcPr>
            <w:tcW w:w="0" w:type="auto"/>
            <w:hideMark/>
          </w:tcPr>
          <w:p w14:paraId="71E9C9EC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затраты на НИОКР, численность исследователей, объём инновационной продукции, доля высокотехнологичных отраслей в ВРП</w:t>
            </w:r>
          </w:p>
        </w:tc>
      </w:tr>
      <w:tr w:rsidR="00CF19FD" w:rsidRPr="00CF19FD" w14:paraId="3D0E9A4B" w14:textId="77777777" w:rsidTr="00CF19FD">
        <w:tc>
          <w:tcPr>
            <w:tcW w:w="0" w:type="auto"/>
            <w:hideMark/>
          </w:tcPr>
          <w:p w14:paraId="2A4805BA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S(t)</w:t>
            </w:r>
          </w:p>
        </w:tc>
        <w:tc>
          <w:tcPr>
            <w:tcW w:w="0" w:type="auto"/>
            <w:hideMark/>
          </w:tcPr>
          <w:p w14:paraId="28107B5A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Социально-экономический потенциал</w:t>
            </w:r>
          </w:p>
        </w:tc>
        <w:tc>
          <w:tcPr>
            <w:tcW w:w="0" w:type="auto"/>
            <w:hideMark/>
          </w:tcPr>
          <w:p w14:paraId="1B58E9D0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реальные доходы, занятость, миграционное сальдо, производительность труда, обеспеченность социальными услугами</w:t>
            </w:r>
          </w:p>
        </w:tc>
      </w:tr>
      <w:tr w:rsidR="00CF19FD" w:rsidRPr="00CF19FD" w14:paraId="772DBD31" w14:textId="77777777" w:rsidTr="00CF19FD">
        <w:tc>
          <w:tcPr>
            <w:tcW w:w="0" w:type="auto"/>
            <w:hideMark/>
          </w:tcPr>
          <w:p w14:paraId="7441FEE4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I(t)</w:t>
            </w:r>
          </w:p>
        </w:tc>
        <w:tc>
          <w:tcPr>
            <w:tcW w:w="0" w:type="auto"/>
            <w:hideMark/>
          </w:tcPr>
          <w:p w14:paraId="22DC7441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Инвестиционно-инновационная активность</w:t>
            </w:r>
          </w:p>
        </w:tc>
        <w:tc>
          <w:tcPr>
            <w:tcW w:w="0" w:type="auto"/>
            <w:hideMark/>
          </w:tcPr>
          <w:p w14:paraId="7E64AC2A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затраты на инновации, доля организаций с технологическими инновациями, инвестиции в технологическое обновление</w:t>
            </w:r>
          </w:p>
        </w:tc>
      </w:tr>
      <w:tr w:rsidR="00CF19FD" w:rsidRPr="00CF19FD" w14:paraId="7A8068C6" w14:textId="77777777" w:rsidTr="00CF19FD">
        <w:tc>
          <w:tcPr>
            <w:tcW w:w="0" w:type="auto"/>
            <w:hideMark/>
          </w:tcPr>
          <w:p w14:paraId="30BFFD68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E(t)</w:t>
            </w:r>
          </w:p>
        </w:tc>
        <w:tc>
          <w:tcPr>
            <w:tcW w:w="0" w:type="auto"/>
            <w:hideMark/>
          </w:tcPr>
          <w:p w14:paraId="50695B51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Экологическая нагрузка</w:t>
            </w:r>
          </w:p>
        </w:tc>
        <w:tc>
          <w:tcPr>
            <w:tcW w:w="0" w:type="auto"/>
            <w:hideMark/>
          </w:tcPr>
          <w:p w14:paraId="74E118C6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 xml:space="preserve">выбросы, отходы, площадь </w:t>
            </w:r>
            <w:proofErr w:type="spellStart"/>
            <w:r w:rsidRPr="00CF19FD">
              <w:rPr>
                <w:rFonts w:asciiTheme="majorHAnsi" w:hAnsiTheme="majorHAnsi" w:cstheme="majorHAnsi"/>
              </w:rPr>
              <w:t>нефтезагрязнённых</w:t>
            </w:r>
            <w:proofErr w:type="spellEnd"/>
            <w:r w:rsidRPr="00CF19FD">
              <w:rPr>
                <w:rFonts w:asciiTheme="majorHAnsi" w:hAnsiTheme="majorHAnsi" w:cstheme="majorHAnsi"/>
              </w:rPr>
              <w:t xml:space="preserve"> земель, аварийность</w:t>
            </w:r>
          </w:p>
        </w:tc>
      </w:tr>
      <w:tr w:rsidR="00CF19FD" w:rsidRPr="00CF19FD" w14:paraId="1D369F6E" w14:textId="77777777" w:rsidTr="00CF19FD">
        <w:tc>
          <w:tcPr>
            <w:tcW w:w="0" w:type="auto"/>
            <w:hideMark/>
          </w:tcPr>
          <w:p w14:paraId="2B407615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H(t)</w:t>
            </w:r>
          </w:p>
        </w:tc>
        <w:tc>
          <w:tcPr>
            <w:tcW w:w="0" w:type="auto"/>
            <w:hideMark/>
          </w:tcPr>
          <w:p w14:paraId="62FECABC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Человеческий капитал</w:t>
            </w:r>
          </w:p>
        </w:tc>
        <w:tc>
          <w:tcPr>
            <w:tcW w:w="0" w:type="auto"/>
            <w:hideMark/>
          </w:tcPr>
          <w:p w14:paraId="63B47698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образование, подготовка инженерных и научных кадров</w:t>
            </w:r>
          </w:p>
        </w:tc>
      </w:tr>
      <w:tr w:rsidR="00CF19FD" w:rsidRPr="00CF19FD" w14:paraId="67BC8259" w14:textId="77777777" w:rsidTr="00CF19FD">
        <w:tc>
          <w:tcPr>
            <w:tcW w:w="0" w:type="auto"/>
            <w:hideMark/>
          </w:tcPr>
          <w:p w14:paraId="538EFC40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M(t)</w:t>
            </w:r>
          </w:p>
        </w:tc>
        <w:tc>
          <w:tcPr>
            <w:tcW w:w="0" w:type="auto"/>
            <w:hideMark/>
          </w:tcPr>
          <w:p w14:paraId="2F70136B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Внешний макроэкономический импульс</w:t>
            </w:r>
          </w:p>
        </w:tc>
        <w:tc>
          <w:tcPr>
            <w:tcW w:w="0" w:type="auto"/>
            <w:hideMark/>
          </w:tcPr>
          <w:p w14:paraId="79A5C67C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индекс физического объёма ВРП или промышленного производства</w:t>
            </w:r>
          </w:p>
        </w:tc>
      </w:tr>
      <w:tr w:rsidR="00CF19FD" w:rsidRPr="00CF19FD" w14:paraId="65CC6DCC" w14:textId="77777777" w:rsidTr="00CF19FD">
        <w:tc>
          <w:tcPr>
            <w:tcW w:w="0" w:type="auto"/>
            <w:hideMark/>
          </w:tcPr>
          <w:p w14:paraId="45E1818C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P(t)</w:t>
            </w:r>
          </w:p>
        </w:tc>
        <w:tc>
          <w:tcPr>
            <w:tcW w:w="0" w:type="auto"/>
            <w:hideMark/>
          </w:tcPr>
          <w:p w14:paraId="7733C34E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Интенсивность технологической политики</w:t>
            </w:r>
          </w:p>
        </w:tc>
        <w:tc>
          <w:tcPr>
            <w:tcW w:w="0" w:type="auto"/>
            <w:hideMark/>
          </w:tcPr>
          <w:p w14:paraId="17D8734F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нормированный сценарный индекс мер поддержки</w:t>
            </w:r>
          </w:p>
        </w:tc>
      </w:tr>
      <w:tr w:rsidR="00CF19FD" w:rsidRPr="00CF19FD" w14:paraId="48EFEE43" w14:textId="77777777" w:rsidTr="00CF19FD">
        <w:tc>
          <w:tcPr>
            <w:tcW w:w="0" w:type="auto"/>
            <w:hideMark/>
          </w:tcPr>
          <w:p w14:paraId="6E9D0B9D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R(t)</w:t>
            </w:r>
          </w:p>
        </w:tc>
        <w:tc>
          <w:tcPr>
            <w:tcW w:w="0" w:type="auto"/>
            <w:hideMark/>
          </w:tcPr>
          <w:p w14:paraId="19D38471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Ограничения</w:t>
            </w:r>
          </w:p>
        </w:tc>
        <w:tc>
          <w:tcPr>
            <w:tcW w:w="0" w:type="auto"/>
            <w:hideMark/>
          </w:tcPr>
          <w:p w14:paraId="628CA702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финансовые, инфраструктурные и институциональные ограничения</w:t>
            </w:r>
          </w:p>
        </w:tc>
      </w:tr>
      <w:tr w:rsidR="00CF19FD" w:rsidRPr="00CF19FD" w14:paraId="26B1F367" w14:textId="77777777" w:rsidTr="00CF19FD">
        <w:tc>
          <w:tcPr>
            <w:tcW w:w="0" w:type="auto"/>
            <w:hideMark/>
          </w:tcPr>
          <w:p w14:paraId="379467D1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Q(t)</w:t>
            </w:r>
          </w:p>
        </w:tc>
        <w:tc>
          <w:tcPr>
            <w:tcW w:w="0" w:type="auto"/>
            <w:hideMark/>
          </w:tcPr>
          <w:p w14:paraId="535F90D8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Интенсивность добычи</w:t>
            </w:r>
          </w:p>
        </w:tc>
        <w:tc>
          <w:tcPr>
            <w:tcW w:w="0" w:type="auto"/>
            <w:hideMark/>
          </w:tcPr>
          <w:p w14:paraId="14449918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добыча нефти относительно уровня базового года</w:t>
            </w:r>
          </w:p>
        </w:tc>
      </w:tr>
      <w:tr w:rsidR="00CF19FD" w:rsidRPr="00CF19FD" w14:paraId="0314B530" w14:textId="77777777" w:rsidTr="00CF19FD">
        <w:tc>
          <w:tcPr>
            <w:tcW w:w="0" w:type="auto"/>
            <w:hideMark/>
          </w:tcPr>
          <w:p w14:paraId="13D38D6A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Z(t)</w:t>
            </w:r>
          </w:p>
        </w:tc>
        <w:tc>
          <w:tcPr>
            <w:tcW w:w="0" w:type="auto"/>
            <w:hideMark/>
          </w:tcPr>
          <w:p w14:paraId="35E4CA90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Природоохранные меры</w:t>
            </w:r>
          </w:p>
        </w:tc>
        <w:tc>
          <w:tcPr>
            <w:tcW w:w="0" w:type="auto"/>
            <w:hideMark/>
          </w:tcPr>
          <w:p w14:paraId="253BD2DA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нормированный сценарный индекс природоохранной политики</w:t>
            </w:r>
          </w:p>
        </w:tc>
      </w:tr>
    </w:tbl>
    <w:p w14:paraId="2BF34071" w14:textId="77777777" w:rsidR="00CF19FD" w:rsidRPr="0012042A" w:rsidRDefault="00CF19FD" w:rsidP="00CF19FD">
      <w:pPr>
        <w:spacing w:after="210"/>
        <w:jc w:val="both"/>
        <w:rPr>
          <w:rFonts w:asciiTheme="majorHAnsi" w:hAnsiTheme="majorHAnsi" w:cstheme="majorHAnsi"/>
        </w:rPr>
      </w:pPr>
    </w:p>
    <w:p w14:paraId="2163BDFF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Предлагается следующая система дифференциальных уравнений:</w:t>
      </w:r>
    </w:p>
    <w:p w14:paraId="0A7C997C" w14:textId="04632C1D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000000"/>
                    </w:rPr>
                    <m:t>dT</m:t>
                  </m:r>
                </m:num>
                <m:den>
                  <m:r>
                    <w:rPr>
                      <w:rFonts w:ascii="Cambria Math" w:hAnsi="Cambria Math" w:cstheme="majorHAnsi"/>
                      <w:color w:val="000000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  <w:lang w:val="en-US"/>
                    </w:rPr>
                    <m:t>[</m:t>
                  </m:r>
                  <m:r>
                    <w:rPr>
                      <w:rFonts w:ascii="Cambria Math" w:hAnsi="Cambria Math" w:cstheme="majorHAnsi"/>
                      <w:color w:val="000000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[1-T(t)]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[β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T(t)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,</m:t>
              </m:r>
              <m:r>
                <w:rPr>
                  <w:rFonts w:ascii="Cambria Math" w:hAnsi="Cambria Math" w:cstheme="majorHAnsi"/>
                  <w:color w:val="000000"/>
                </w:rPr>
                <m:t>#(4)</m:t>
              </m:r>
            </m:e>
          </m:eqArr>
        </m:oMath>
      </m:oMathPara>
    </w:p>
    <w:p w14:paraId="6918E636" w14:textId="03820573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000000"/>
                    </w:rPr>
                    <m:t>dS</m:t>
                  </m:r>
                </m:num>
                <m:den>
                  <m:r>
                    <w:rPr>
                      <w:rFonts w:ascii="Cambria Math" w:hAnsi="Cambria Math" w:cstheme="majorHAnsi"/>
                      <w:color w:val="000000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[γ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</m:t>
              </m:r>
              <m:r>
                <w:rPr>
                  <w:rFonts w:ascii="Cambria Math" w:hAnsi="Cambria Math" w:cstheme="majorHAnsi"/>
                  <w:color w:val="000000"/>
                </w:rPr>
                <m:t>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[1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-</m:t>
              </m:r>
              <m:r>
                <w:rPr>
                  <w:rFonts w:ascii="Cambria Math" w:hAnsi="Cambria Math" w:cstheme="majorHAnsi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)]-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[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S(t)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,</m:t>
              </m:r>
              <m:r>
                <w:rPr>
                  <w:rFonts w:ascii="Cambria Math" w:hAnsi="Cambria Math" w:cstheme="majorHAnsi"/>
                  <w:color w:val="000000"/>
                </w:rPr>
                <m:t>#(5)</m:t>
              </m:r>
            </m:e>
          </m:eqArr>
        </m:oMath>
      </m:oMathPara>
    </w:p>
    <w:p w14:paraId="7B44A059" w14:textId="303078E0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000000"/>
                    </w:rPr>
                    <m:t>dI</m:t>
                  </m:r>
                </m:num>
                <m:den>
                  <m:r>
                    <w:rPr>
                      <w:rFonts w:ascii="Cambria Math" w:hAnsi="Cambria Math" w:cstheme="majorHAnsi"/>
                      <w:color w:val="000000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=[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</m:t>
              </m:r>
              <m:r>
                <w:rPr>
                  <w:rFonts w:ascii="Cambria Math" w:hAnsi="Cambria Math" w:cstheme="majorHAnsi"/>
                  <w:color w:val="000000"/>
                </w:rPr>
                <m:t>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[1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-</m:t>
              </m:r>
              <m:r>
                <w:rPr>
                  <w:rFonts w:ascii="Cambria Math" w:hAnsi="Cambria Math" w:cstheme="majorHAnsi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)]-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[</m:t>
                  </m:r>
                  <m:sSub>
                    <m:sSubPr>
                      <m:ctrlPr>
                        <w:rPr>
                          <w:rFonts w:ascii="Cambria Math" w:eastAsiaTheme="minorHAnsi" w:hAnsi="Cambria Math" w:cstheme="majorHAnsi"/>
                          <w:i/>
                          <w:color w:val="000000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HAnsi"/>
                      <w:color w:val="000000"/>
                    </w:rPr>
                    <m:t>+μ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I(t)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,</m:t>
              </m:r>
              <m:r>
                <w:rPr>
                  <w:rFonts w:ascii="Cambria Math" w:hAnsi="Cambria Math" w:cstheme="majorHAnsi"/>
                  <w:color w:val="000000"/>
                </w:rPr>
                <m:t>#(6)</m:t>
              </m:r>
            </m:e>
          </m:eqArr>
        </m:oMath>
      </m:oMathPara>
    </w:p>
    <w:p w14:paraId="12C86468" w14:textId="4D663A9C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000000"/>
                    </w:rPr>
                    <m:t>dE</m:t>
                  </m:r>
                </m:num>
                <m:den>
                  <m:r>
                    <w:rPr>
                      <w:rFonts w:ascii="Cambria Math" w:hAnsi="Cambria Math" w:cstheme="majorHAnsi"/>
                      <w:color w:val="000000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)[1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-E(t)]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-[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r>
                <w:rPr>
                  <w:rFonts w:ascii="Cambria Math" w:hAnsi="Cambria Math" w:cstheme="majorHAnsi"/>
                  <w:color w:val="000000"/>
                </w:rPr>
                <m:t>ω]E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).</m:t>
              </m:r>
              <m:r>
                <w:rPr>
                  <w:rFonts w:ascii="Cambria Math" w:hAnsi="Cambria Math" w:cstheme="majorHAnsi"/>
                  <w:color w:val="000000"/>
                </w:rPr>
                <m:t>#(7)</m:t>
              </m:r>
            </m:e>
          </m:eqArr>
        </m:oMath>
      </m:oMathPara>
    </w:p>
    <w:p w14:paraId="2CC096D1" w14:textId="0D4B0CB2" w:rsidR="00715F81" w:rsidRPr="00BC032C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В модели </w:t>
      </w:r>
      <m:oMath>
        <m:r>
          <w:rPr>
            <w:rFonts w:ascii="Cambria Math" w:hAnsi="Cambria Math" w:cstheme="majorHAnsi"/>
            <w:color w:val="000000"/>
          </w:rPr>
          <m:t>H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характеризует уровень человеческого капитала; </w:t>
      </w:r>
      <m:oMath>
        <m:r>
          <w:rPr>
            <w:rFonts w:ascii="Cambria Math" w:hAnsi="Cambria Math" w:cstheme="majorHAnsi"/>
            <w:color w:val="000000"/>
          </w:rPr>
          <m:t>Y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доходную и производственную результативность региональной экономики; </w:t>
      </w:r>
      <m:oMath>
        <m:r>
          <w:rPr>
            <w:rFonts w:ascii="Cambria Math" w:hAnsi="Cambria Math" w:cstheme="majorHAnsi"/>
            <w:color w:val="000000"/>
          </w:rPr>
          <m:t>P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интенсивность мер промышленной и инновационной политики; </w:t>
      </w:r>
      <m:oMath>
        <m:r>
          <w:rPr>
            <w:rFonts w:ascii="Cambria Math" w:hAnsi="Cambria Math" w:cstheme="majorHAnsi"/>
            <w:color w:val="000000"/>
          </w:rPr>
          <m:t>R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институциональные, инфраструктурные и финансовые ограничения; </w:t>
      </w:r>
      <m:oMath>
        <m:r>
          <w:rPr>
            <w:rFonts w:ascii="Cambria Math" w:hAnsi="Cambria Math" w:cstheme="majorHAnsi"/>
            <w:color w:val="000000"/>
          </w:rPr>
          <m:t>Q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интенсивность ресурсодобычи; </w:t>
      </w:r>
      <m:oMath>
        <m:r>
          <w:rPr>
            <w:rFonts w:ascii="Cambria Math" w:hAnsi="Cambria Math" w:cstheme="majorHAnsi"/>
            <w:color w:val="000000"/>
          </w:rPr>
          <m:t>Z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масштаб природоохранных и технологических мероприятий.</w:t>
      </w:r>
      <w:r w:rsidR="00BC032C" w:rsidRPr="00BC032C">
        <w:rPr>
          <w:rFonts w:asciiTheme="majorHAnsi" w:eastAsia="source serif 4" w:hAnsiTheme="majorHAnsi" w:cstheme="majorHAnsi"/>
          <w:color w:val="000000"/>
        </w:rPr>
        <w:t xml:space="preserve"> </w:t>
      </w:r>
      <w:r w:rsidR="00BC032C">
        <w:rPr>
          <w:rFonts w:asciiTheme="majorHAnsi" w:eastAsia="source serif 4" w:hAnsiTheme="majorHAnsi" w:cstheme="majorHAnsi"/>
          <w:color w:val="000000"/>
        </w:rPr>
        <w:t>При этом, м</w:t>
      </w:r>
      <w:r w:rsidR="00BC032C" w:rsidRPr="00BC032C">
        <w:rPr>
          <w:rFonts w:asciiTheme="majorHAnsi" w:eastAsia="source serif 4" w:hAnsiTheme="majorHAnsi" w:cstheme="majorHAnsi"/>
          <w:color w:val="000000"/>
        </w:rPr>
        <w:t xml:space="preserve">ножители </w:t>
      </w:r>
      <m:oMath>
        <m:r>
          <w:rPr>
            <w:rFonts w:ascii="Cambria Math" w:eastAsia="source serif 4" w:hAnsi="Cambria Math" w:cstheme="majorHAnsi"/>
            <w:color w:val="000000"/>
          </w:rPr>
          <m:t>1-</m:t>
        </m:r>
        <m:r>
          <w:rPr>
            <w:rFonts w:ascii="Cambria Math" w:eastAsia="source serif 4" w:hAnsi="Cambria Math" w:cstheme="majorHAnsi"/>
            <w:color w:val="000000"/>
            <w:lang w:val="en-US"/>
          </w:rPr>
          <m:t>T</m:t>
        </m:r>
        <m:r>
          <w:rPr>
            <w:rFonts w:ascii="Cambria Math" w:eastAsia="source serif 4" w:hAnsi="Cambria Math" w:cstheme="majorHAnsi"/>
            <w:color w:val="000000"/>
          </w:rPr>
          <m:t>(</m:t>
        </m:r>
        <m:r>
          <w:rPr>
            <w:rFonts w:ascii="Cambria Math" w:eastAsia="source serif 4" w:hAnsi="Cambria Math" w:cstheme="majorHAnsi"/>
            <w:color w:val="000000"/>
            <w:lang w:val="en-US"/>
          </w:rPr>
          <m:t>t</m:t>
        </m:r>
        <m:r>
          <w:rPr>
            <w:rFonts w:ascii="Cambria Math" w:eastAsia="source serif 4" w:hAnsi="Cambria Math" w:cstheme="majorHAnsi"/>
            <w:color w:val="000000"/>
          </w:rPr>
          <m:t>),1-S(t),1-I(t) и 1-E(t)</m:t>
        </m:r>
      </m:oMath>
      <w:r w:rsidR="00BC032C" w:rsidRPr="00BC032C">
        <w:rPr>
          <w:rFonts w:asciiTheme="majorHAnsi" w:eastAsia="source serif 4" w:hAnsiTheme="majorHAnsi" w:cstheme="majorHAnsi"/>
          <w:color w:val="000000"/>
        </w:rPr>
        <w:t xml:space="preserve"> отражают эффект насыщения. По мере приближения соответствующего индекса к единице потенциал его дальнейшего прироста уменьшается. Отрицательные воздействия заданы пропорционально текущему состоянию. При неотрицательных параметрах и исходных значениях из интервала </w:t>
      </w:r>
      <m:oMath>
        <m:r>
          <w:rPr>
            <w:rFonts w:ascii="Cambria Math" w:eastAsia="source serif 4" w:hAnsi="Cambria Math" w:cstheme="majorHAnsi"/>
            <w:color w:val="000000"/>
          </w:rPr>
          <m:t>[0,1]</m:t>
        </m:r>
      </m:oMath>
      <w:r w:rsidR="00BC032C" w:rsidRPr="00BC032C">
        <w:rPr>
          <w:rFonts w:asciiTheme="majorHAnsi" w:eastAsia="source serif 4" w:hAnsiTheme="majorHAnsi" w:cstheme="majorHAnsi"/>
          <w:color w:val="000000"/>
        </w:rPr>
        <w:t xml:space="preserve"> такая структура препятствует выходу переменных за содержательно допустимые границы. </w:t>
      </w:r>
      <m:oMath>
        <m:r>
          <w:rPr>
            <w:rFonts w:ascii="Cambria Math" w:eastAsia="source serif 4" w:hAnsi="Cambria Math" w:cstheme="majorHAnsi"/>
            <w:color w:val="000000"/>
          </w:rPr>
          <m:t>M(t)</m:t>
        </m:r>
      </m:oMath>
      <w:r w:rsidR="00BC032C" w:rsidRPr="00BC032C">
        <w:rPr>
          <w:rFonts w:asciiTheme="majorHAnsi" w:eastAsia="source serif 4" w:hAnsiTheme="majorHAnsi" w:cstheme="majorHAnsi"/>
          <w:color w:val="000000"/>
        </w:rPr>
        <w:t xml:space="preserve"> — внешний макроэкономический импульс, характеризующий общую экономическую конъюнктуру и не включённый непосредственно в состав индекса </w:t>
      </w:r>
      <m:oMath>
        <m:r>
          <w:rPr>
            <w:rFonts w:ascii="Cambria Math" w:eastAsia="source serif 4" w:hAnsi="Cambria Math" w:cstheme="majorHAnsi"/>
            <w:color w:val="000000"/>
          </w:rPr>
          <m:t>S(t)</m:t>
        </m:r>
      </m:oMath>
    </w:p>
    <w:p w14:paraId="736689C5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Параметры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2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отражают положительные связи между компонентами системы. Параметры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1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характеризуют естественное затухание эффекта, технологическое старение, выбытие фондов и необходимость постоянного воспроизводства ресурсов. Коэффициенты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2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и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2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выражают отрицательное влияние экологической нагрузки на технологическое и социально-экономическое развитие. Коэффициенты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1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,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2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и </w:t>
      </w:r>
      <m:oMath>
        <m:r>
          <w:rPr>
            <w:rFonts w:ascii="Cambria Math" w:hAnsi="Cambria Math" w:cstheme="majorHAnsi"/>
            <w:color w:val="000000"/>
          </w:rPr>
          <m:t>ω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описывают соответственно прирост нагрузки вследствие добычи, ее снижение под влиянием природоохранных мер и естественное восстановление природной среды.</w:t>
      </w:r>
    </w:p>
    <w:p w14:paraId="3FC02D19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Содержательно уравнение (4) означает, что технологический потенциал возрастает при росте инновационных инвестиций и человеческого капитала, но снижается под действием технологического устаревания и экологических ограничений. Уравнение (5) показывает влияние технологического развития и экономической результативности на социально-экономический потенциал. Уравнение (6) описывает зависимость инвестиционно-инновационной активности от качества промышленной политики и состояния региональной социально-экономической среды. Уравнение (7) учитывает экологические последствия </w:t>
      </w:r>
      <w:proofErr w:type="spellStart"/>
      <w:r w:rsidRPr="0012042A">
        <w:rPr>
          <w:rFonts w:asciiTheme="majorHAnsi" w:eastAsia="source serif 4" w:hAnsiTheme="majorHAnsi" w:cstheme="majorHAnsi"/>
          <w:color w:val="000000"/>
        </w:rPr>
        <w:t>ресурсодобычи</w:t>
      </w:r>
      <w:proofErr w:type="spellEnd"/>
      <w:r w:rsidRPr="0012042A">
        <w:rPr>
          <w:rFonts w:asciiTheme="majorHAnsi" w:eastAsia="source serif 4" w:hAnsiTheme="majorHAnsi" w:cstheme="majorHAnsi"/>
          <w:color w:val="000000"/>
        </w:rPr>
        <w:t xml:space="preserve"> и компенсирующее действие природоохранных мероприятий.</w:t>
      </w:r>
    </w:p>
    <w:p w14:paraId="4A8EEC87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Для получения сводной оценки может быть введен индекс сбалансированного устойчивого развития:</w:t>
      </w:r>
    </w:p>
    <w:p w14:paraId="6814C5B7" w14:textId="77777777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r>
                <w:rPr>
                  <w:rFonts w:ascii="Cambria Math" w:hAnsi="Cambria Math" w:cstheme="majorHAnsi"/>
                  <w:color w:val="000000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T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S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)-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E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),</m:t>
              </m:r>
              <m:r>
                <w:rPr>
                  <w:rFonts w:ascii="Cambria Math" w:hAnsi="Cambria Math" w:cstheme="majorHAnsi"/>
                  <w:color w:val="000000"/>
                </w:rPr>
                <m:t>#(8)</m:t>
              </m:r>
            </m:e>
          </m:eqArr>
        </m:oMath>
      </m:oMathPara>
    </w:p>
    <w:p w14:paraId="7FF1F30A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где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λ</m:t>
            </m:r>
          </m:e>
          <m:sub>
            <m:r>
              <w:rPr>
                <w:rFonts w:ascii="Cambria Math" w:hAnsi="Cambria Math" w:cstheme="majorHAnsi"/>
                <w:color w:val="00000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λ</m:t>
            </m:r>
          </m:e>
          <m:sub>
            <m:r>
              <w:rPr>
                <w:rFonts w:ascii="Cambria Math" w:hAnsi="Cambria Math" w:cstheme="majorHAnsi"/>
                <w:color w:val="000000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λ</m:t>
            </m:r>
          </m:e>
          <m:sub>
            <m:r>
              <w:rPr>
                <w:rFonts w:ascii="Cambria Math" w:hAnsi="Cambria Math" w:cstheme="majorHAnsi"/>
                <w:color w:val="00000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λ</m:t>
            </m:r>
          </m:e>
          <m:sub>
            <m:r>
              <w:rPr>
                <w:rFonts w:ascii="Cambria Math" w:hAnsi="Cambria Math" w:cstheme="majorHAnsi"/>
                <w:color w:val="000000"/>
              </w:rPr>
              <m:t>E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весовые коэффициенты, отражающие приоритетность технологической, социальной, инвестиционной и экологической компонент. Использование индекса </w:t>
      </w:r>
      <m:oMath>
        <m:r>
          <w:rPr>
            <w:rFonts w:ascii="Cambria Math" w:hAnsi="Cambria Math" w:cstheme="majorHAnsi"/>
            <w:color w:val="000000"/>
          </w:rPr>
          <m:t>U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не заменяет анализа отдельных состояний системы, но дает возможность сопоставлять сценарии по единому критерию.</w:t>
      </w:r>
    </w:p>
    <w:p w14:paraId="0005C69D" w14:textId="77777777" w:rsidR="00715F81" w:rsidRPr="0012042A" w:rsidRDefault="00000000" w:rsidP="00CF19FD">
      <w:pPr>
        <w:spacing w:before="315" w:after="105"/>
        <w:ind w:left="-30"/>
        <w:rPr>
          <w:rFonts w:asciiTheme="majorHAnsi" w:hAnsiTheme="majorHAnsi" w:cstheme="majorHAnsi"/>
        </w:rPr>
      </w:pPr>
      <w:bookmarkStart w:id="5" w:name="параметризация_и_данные"/>
      <w:r w:rsidRPr="0012042A">
        <w:rPr>
          <w:rFonts w:asciiTheme="majorHAnsi" w:eastAsia="source serif 4" w:hAnsiTheme="majorHAnsi" w:cstheme="majorHAnsi"/>
          <w:b/>
          <w:color w:val="000000"/>
        </w:rPr>
        <w:t>Параметризация и данные</w:t>
      </w:r>
      <w:bookmarkEnd w:id="5"/>
    </w:p>
    <w:p w14:paraId="78A131CD" w14:textId="403821BE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Источником исходной информации для модели могут выступать официальные данные Росстата и его территориального органа, сведения Единой межведомственной информационно-статистической системы, данные Роспатента, Министерства науки и высшего образования Российской Федерации, органов государственной власти ХМАО–Югры и отраслевых компаний.</w:t>
      </w:r>
      <w:r w:rsidR="00764964" w:rsidRPr="00764964">
        <w:rPr>
          <w:rFonts w:asciiTheme="majorHAnsi" w:eastAsia="source serif 4" w:hAnsiTheme="majorHAnsi" w:cstheme="majorHAnsi"/>
          <w:b/>
          <w:bCs/>
          <w:color w:val="000000"/>
        </w:rPr>
        <w:t>[4]</w:t>
      </w:r>
      <w:r w:rsidRPr="0012042A">
        <w:rPr>
          <w:rFonts w:asciiTheme="majorHAnsi" w:eastAsia="source serif 4" w:hAnsiTheme="majorHAnsi" w:cstheme="majorHAnsi"/>
          <w:color w:val="000000"/>
        </w:rPr>
        <w:t xml:space="preserve"> Для обеспечения сопоставимости целесообразно использовать годовые ряды за период не менее 10–15 лет.</w:t>
      </w:r>
    </w:p>
    <w:p w14:paraId="5B006B3A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Значения параметров модели могут быть определены двумя способами. Первый способ предполагает калибровку параметров путем минимизации расхождения между расчетными траекториями и наблюдаемыми значениями интегральных индексов. Второй способ применим при недостаточности временных рядов и основан на экспертном задании диапазонов параметров с последующим анализом чувствительности. В конференционной статье рационально использовать смешанный подход: для части параметров применить статистическую калибровку, а для параметров, характеризующих силу мер промышленной политики и экологических мероприятий, сформировать сценарные значения.</w:t>
      </w:r>
    </w:p>
    <w:p w14:paraId="3A1E6B1C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При численном решении должны быть заданы начальные условия:</w:t>
      </w:r>
    </w:p>
    <w:p w14:paraId="3BFFDF3F" w14:textId="77777777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(0)=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 xml:space="preserve">, </m:t>
              </m:r>
              <m:r>
                <w:rPr>
                  <w:rFonts w:ascii="Cambria Math" w:hAnsi="Cambria Math" w:cstheme="majorHAnsi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(0)=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 xml:space="preserve">, </m:t>
              </m:r>
              <m:r>
                <w:rPr>
                  <w:rFonts w:ascii="Cambria Math" w:hAnsi="Cambria Math" w:cstheme="majorHAnsi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(0)=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 xml:space="preserve">, </m:t>
              </m:r>
              <m:r>
                <w:rPr>
                  <w:rFonts w:ascii="Cambria Math" w:hAnsi="Cambria Math" w:cstheme="majorHAnsi"/>
                  <w:color w:val="000000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(0)=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.</m:t>
              </m:r>
              <m:r>
                <w:rPr>
                  <w:rFonts w:ascii="Cambria Math" w:hAnsi="Cambria Math" w:cstheme="majorHAnsi"/>
                  <w:color w:val="000000"/>
                </w:rPr>
                <m:t>#(9)</m:t>
              </m:r>
            </m:e>
          </m:eqArr>
        </m:oMath>
      </m:oMathPara>
    </w:p>
    <w:p w14:paraId="62245810" w14:textId="77777777" w:rsidR="00715F81" w:rsidRPr="00022457" w:rsidRDefault="00000000" w:rsidP="00CF19FD">
      <w:pPr>
        <w:spacing w:after="210"/>
        <w:ind w:firstLine="567"/>
        <w:jc w:val="both"/>
        <w:rPr>
          <w:rFonts w:asciiTheme="majorHAnsi" w:eastAsia="source serif 4" w:hAnsiTheme="majorHAnsi" w:cstheme="majorHAnsi"/>
          <w:color w:val="000000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Начальные значения определяются по последнему доступному году наблюдений. Решение системы (4)–(7) выполняется численно в программной среде Python с применением функции </w:t>
      </w:r>
      <w:proofErr w:type="spellStart"/>
      <w:r w:rsidRPr="0012042A">
        <w:rPr>
          <w:rStyle w:val="VerbatimChar"/>
          <w:rFonts w:asciiTheme="majorHAnsi" w:eastAsia="menlo" w:hAnsiTheme="majorHAnsi" w:cstheme="majorHAnsi"/>
          <w:color w:val="000000"/>
          <w:sz w:val="24"/>
          <w:shd w:val="clear" w:color="auto" w:fill="F8F8FA"/>
        </w:rPr>
        <w:t>solve_ivp</w:t>
      </w:r>
      <w:proofErr w:type="spellEnd"/>
      <w:r w:rsidRPr="0012042A">
        <w:rPr>
          <w:rFonts w:asciiTheme="majorHAnsi" w:eastAsia="source serif 4" w:hAnsiTheme="majorHAnsi" w:cstheme="majorHAnsi"/>
          <w:color w:val="000000"/>
        </w:rPr>
        <w:t xml:space="preserve"> библиотеки </w:t>
      </w:r>
      <w:proofErr w:type="spellStart"/>
      <w:proofErr w:type="gramStart"/>
      <w:r w:rsidRPr="0012042A">
        <w:rPr>
          <w:rStyle w:val="VerbatimChar"/>
          <w:rFonts w:asciiTheme="majorHAnsi" w:eastAsia="menlo" w:hAnsiTheme="majorHAnsi" w:cstheme="majorHAnsi"/>
          <w:color w:val="000000"/>
          <w:sz w:val="24"/>
          <w:shd w:val="clear" w:color="auto" w:fill="F8F8FA"/>
        </w:rPr>
        <w:t>scipy.integrate</w:t>
      </w:r>
      <w:proofErr w:type="spellEnd"/>
      <w:proofErr w:type="gramEnd"/>
      <w:r w:rsidRPr="0012042A">
        <w:rPr>
          <w:rFonts w:asciiTheme="majorHAnsi" w:eastAsia="source serif 4" w:hAnsiTheme="majorHAnsi" w:cstheme="majorHAnsi"/>
          <w:color w:val="000000"/>
        </w:rPr>
        <w:t>. Техническая реализация приведена в приложении А.</w:t>
      </w:r>
    </w:p>
    <w:p w14:paraId="588C334E" w14:textId="2E7BBA81" w:rsidR="00AC4073" w:rsidRDefault="00AC4073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AC4073">
        <w:rPr>
          <w:rFonts w:asciiTheme="majorHAnsi" w:hAnsiTheme="majorHAnsi" w:cstheme="majorHAnsi"/>
        </w:rPr>
        <w:t xml:space="preserve">Единицей модельного времени принят один календарный год. Начальное состояние соответствует 2024 году, горизонт сценарного прогнозирования — 2030 году. Для визуализации численное решение выводится с месячным шагом, однако сценарные предпосылки задаются на годовой шкале. </w:t>
      </w:r>
      <w:r>
        <w:rPr>
          <w:rFonts w:asciiTheme="majorHAnsi" w:hAnsiTheme="majorHAnsi" w:cstheme="majorHAnsi"/>
        </w:rPr>
        <w:t xml:space="preserve">Дополнительно отметим, что </w:t>
      </w:r>
      <w:r w:rsidRPr="00AC4073">
        <w:rPr>
          <w:rFonts w:asciiTheme="majorHAnsi" w:hAnsiTheme="majorHAnsi" w:cstheme="majorHAnsi"/>
        </w:rPr>
        <w:t>внешн</w:t>
      </w:r>
      <w:r>
        <w:rPr>
          <w:rFonts w:asciiTheme="majorHAnsi" w:hAnsiTheme="majorHAnsi" w:cstheme="majorHAnsi"/>
        </w:rPr>
        <w:t>ие воздействия линейно интерполируются по годам, а коэффициенты естественного затухания представлены через периоды полураспада.</w:t>
      </w:r>
    </w:p>
    <w:p w14:paraId="58FB7862" w14:textId="454BF6D7" w:rsidR="00AC4073" w:rsidRDefault="00AC4073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AC4073">
        <w:rPr>
          <w:rFonts w:asciiTheme="majorHAnsi" w:hAnsiTheme="majorHAnsi" w:cstheme="majorHAnsi"/>
        </w:rPr>
        <w:t>Для интенсивности добычи уровень 2024 года принят равным единице. К 2030 году в базовой траектории предполагается снижение индекса до 0,90. Направление изменения согласуется с наблюдаемой динамикой зрелого нефтедобывающего региона: в официальных документах приводятся значения добычи 223,1 млн тонн в 2022 году, 216,0 млн тонн в 2023 году и последующее снижение прогнозной оценки</w:t>
      </w:r>
      <w:r w:rsidR="00764964" w:rsidRPr="00764964">
        <w:rPr>
          <w:rFonts w:asciiTheme="majorHAnsi" w:hAnsiTheme="majorHAnsi" w:cstheme="majorHAnsi"/>
        </w:rPr>
        <w:t xml:space="preserve"> </w:t>
      </w:r>
      <w:r w:rsidR="00764964" w:rsidRPr="00764964">
        <w:rPr>
          <w:rFonts w:asciiTheme="majorHAnsi" w:hAnsiTheme="majorHAnsi" w:cstheme="majorHAnsi"/>
          <w:b/>
          <w:bCs/>
        </w:rPr>
        <w:t>[4]</w:t>
      </w:r>
      <w:r w:rsidR="00764964" w:rsidRPr="00764964">
        <w:rPr>
          <w:rFonts w:asciiTheme="majorHAnsi" w:hAnsiTheme="majorHAnsi" w:cstheme="majorHAnsi"/>
        </w:rPr>
        <w:t>.</w:t>
      </w:r>
      <w:r w:rsidRPr="00AC4073">
        <w:rPr>
          <w:rFonts w:asciiTheme="majorHAnsi" w:hAnsiTheme="majorHAnsi" w:cstheme="majorHAnsi"/>
        </w:rPr>
        <w:t xml:space="preserve"> Значение 0,90 в 2030 году является модельной экстраполяцией, а не официальным точечным прогнозом.</w:t>
      </w:r>
    </w:p>
    <w:p w14:paraId="3E36DF7E" w14:textId="07A6218B" w:rsidR="00AC4073" w:rsidRPr="00AC4073" w:rsidRDefault="00AC4073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AC4073">
        <w:rPr>
          <w:rFonts w:asciiTheme="majorHAnsi" w:hAnsiTheme="majorHAnsi" w:cstheme="majorHAnsi"/>
        </w:rPr>
        <w:t>Начальное значение индекса промышленной и инновационной политики принято равным 0,30. Умеренный базовый уровень выбран с учётом того, что затраты на инновации организаций Югры снизились со 133,0 млрд рублей в 2020 году до 35,7 млрд рублей в 2024 году, а технологические инновации в 2024 году осуществляли 9,5% обследованных организаций</w:t>
      </w:r>
      <w:r w:rsidR="00764964" w:rsidRPr="00764964">
        <w:rPr>
          <w:rFonts w:asciiTheme="majorHAnsi" w:hAnsiTheme="majorHAnsi" w:cstheme="majorHAnsi"/>
        </w:rPr>
        <w:t xml:space="preserve"> </w:t>
      </w:r>
      <w:r w:rsidR="00764964" w:rsidRPr="00764964">
        <w:rPr>
          <w:rFonts w:asciiTheme="majorHAnsi" w:hAnsiTheme="majorHAnsi" w:cstheme="majorHAnsi"/>
          <w:b/>
          <w:bCs/>
        </w:rPr>
        <w:t>[4]</w:t>
      </w:r>
      <w:r w:rsidRPr="00AC4073">
        <w:rPr>
          <w:rFonts w:asciiTheme="majorHAnsi" w:hAnsiTheme="majorHAnsi" w:cstheme="majorHAnsi"/>
        </w:rPr>
        <w:t>. Повышение индекса до 0,55 в технологическом сценарии представляет целевое управленческое воздействие, а не продолжение наблюдавшегося тренда.</w:t>
      </w:r>
    </w:p>
    <w:p w14:paraId="27535866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bookmarkStart w:id="6" w:name="сценарии_развития"/>
      <w:r w:rsidRPr="0012042A">
        <w:rPr>
          <w:rFonts w:asciiTheme="majorHAnsi" w:eastAsia="source serif 4" w:hAnsiTheme="majorHAnsi" w:cstheme="majorHAnsi"/>
          <w:b/>
          <w:color w:val="000000"/>
        </w:rPr>
        <w:t>Сценарии развития</w:t>
      </w:r>
      <w:bookmarkEnd w:id="6"/>
    </w:p>
    <w:p w14:paraId="4372FAD3" w14:textId="3D0DB94A" w:rsidR="00715F81" w:rsidRDefault="00000000" w:rsidP="00CF19FD">
      <w:pPr>
        <w:spacing w:after="210"/>
        <w:ind w:firstLine="567"/>
        <w:jc w:val="both"/>
        <w:rPr>
          <w:rFonts w:asciiTheme="majorHAnsi" w:eastAsia="source serif 4" w:hAnsiTheme="majorHAnsi" w:cstheme="majorHAnsi"/>
          <w:color w:val="000000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Для оценки последствий промышленной политики предлагается рассмотреть </w:t>
      </w:r>
      <w:r w:rsidR="00AC4073">
        <w:rPr>
          <w:rFonts w:asciiTheme="majorHAnsi" w:eastAsia="source serif 4" w:hAnsiTheme="majorHAnsi" w:cstheme="majorHAnsi"/>
          <w:color w:val="000000"/>
        </w:rPr>
        <w:t>четыре</w:t>
      </w:r>
      <w:r w:rsidRPr="0012042A">
        <w:rPr>
          <w:rFonts w:asciiTheme="majorHAnsi" w:eastAsia="source serif 4" w:hAnsiTheme="majorHAnsi" w:cstheme="majorHAnsi"/>
          <w:color w:val="000000"/>
        </w:rPr>
        <w:t xml:space="preserve"> сценария.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75"/>
        <w:gridCol w:w="1421"/>
        <w:gridCol w:w="2122"/>
        <w:gridCol w:w="1901"/>
        <w:gridCol w:w="2309"/>
      </w:tblGrid>
      <w:tr w:rsidR="00AC4073" w:rsidRPr="00AC4073" w14:paraId="615CC763" w14:textId="77777777" w:rsidTr="00AC4073">
        <w:tc>
          <w:tcPr>
            <w:tcW w:w="974" w:type="pct"/>
            <w:hideMark/>
          </w:tcPr>
          <w:p w14:paraId="68C36CFC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738" w:type="pct"/>
            <w:hideMark/>
          </w:tcPr>
          <w:p w14:paraId="2C38F0EA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Базовый</w:t>
            </w:r>
          </w:p>
        </w:tc>
        <w:tc>
          <w:tcPr>
            <w:tcW w:w="1102" w:type="pct"/>
            <w:hideMark/>
          </w:tcPr>
          <w:p w14:paraId="1F7F1408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Технологический</w:t>
            </w:r>
          </w:p>
        </w:tc>
        <w:tc>
          <w:tcPr>
            <w:tcW w:w="987" w:type="pct"/>
            <w:hideMark/>
          </w:tcPr>
          <w:p w14:paraId="69303445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Экологический</w:t>
            </w:r>
          </w:p>
        </w:tc>
        <w:tc>
          <w:tcPr>
            <w:tcW w:w="1199" w:type="pct"/>
            <w:hideMark/>
          </w:tcPr>
          <w:p w14:paraId="79523233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Комбинированный</w:t>
            </w:r>
          </w:p>
        </w:tc>
      </w:tr>
      <w:tr w:rsidR="00AC4073" w:rsidRPr="00AC4073" w14:paraId="19BD462C" w14:textId="77777777" w:rsidTr="00AC4073">
        <w:tc>
          <w:tcPr>
            <w:tcW w:w="974" w:type="pct"/>
            <w:hideMark/>
          </w:tcPr>
          <w:p w14:paraId="3F59FA5B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H: 2024 → 2030</w:t>
            </w:r>
          </w:p>
        </w:tc>
        <w:tc>
          <w:tcPr>
            <w:tcW w:w="738" w:type="pct"/>
            <w:hideMark/>
          </w:tcPr>
          <w:p w14:paraId="79E64348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0,55 → 0,55</w:t>
            </w:r>
          </w:p>
        </w:tc>
        <w:tc>
          <w:tcPr>
            <w:tcW w:w="1102" w:type="pct"/>
            <w:hideMark/>
          </w:tcPr>
          <w:p w14:paraId="11B01346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0,55 → 0,55</w:t>
            </w:r>
          </w:p>
        </w:tc>
        <w:tc>
          <w:tcPr>
            <w:tcW w:w="987" w:type="pct"/>
            <w:hideMark/>
          </w:tcPr>
          <w:p w14:paraId="2AE0307C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0,55 → 0,55</w:t>
            </w:r>
          </w:p>
        </w:tc>
        <w:tc>
          <w:tcPr>
            <w:tcW w:w="1199" w:type="pct"/>
            <w:hideMark/>
          </w:tcPr>
          <w:p w14:paraId="75B0C688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0,55 → 0,55</w:t>
            </w:r>
          </w:p>
        </w:tc>
      </w:tr>
      <w:tr w:rsidR="00AC4073" w:rsidRPr="00AC4073" w14:paraId="4E8387C3" w14:textId="77777777" w:rsidTr="00AC4073">
        <w:tc>
          <w:tcPr>
            <w:tcW w:w="974" w:type="pct"/>
            <w:hideMark/>
          </w:tcPr>
          <w:p w14:paraId="0D39B5B8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M: 2024 → 2030</w:t>
            </w:r>
          </w:p>
        </w:tc>
        <w:tc>
          <w:tcPr>
            <w:tcW w:w="738" w:type="pct"/>
            <w:hideMark/>
          </w:tcPr>
          <w:p w14:paraId="79FCFC01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0,50 → 0,50</w:t>
            </w:r>
          </w:p>
        </w:tc>
        <w:tc>
          <w:tcPr>
            <w:tcW w:w="1102" w:type="pct"/>
            <w:hideMark/>
          </w:tcPr>
          <w:p w14:paraId="795C99FC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0,50 → 0,50</w:t>
            </w:r>
          </w:p>
        </w:tc>
        <w:tc>
          <w:tcPr>
            <w:tcW w:w="987" w:type="pct"/>
            <w:hideMark/>
          </w:tcPr>
          <w:p w14:paraId="708C60D7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0,50 → 0,50</w:t>
            </w:r>
          </w:p>
        </w:tc>
        <w:tc>
          <w:tcPr>
            <w:tcW w:w="1199" w:type="pct"/>
            <w:hideMark/>
          </w:tcPr>
          <w:p w14:paraId="546C0187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0,50 → 0,50</w:t>
            </w:r>
          </w:p>
        </w:tc>
      </w:tr>
      <w:tr w:rsidR="00AC4073" w:rsidRPr="00AC4073" w14:paraId="4945F46B" w14:textId="77777777" w:rsidTr="00AC4073">
        <w:tc>
          <w:tcPr>
            <w:tcW w:w="974" w:type="pct"/>
            <w:hideMark/>
          </w:tcPr>
          <w:p w14:paraId="26FC1703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P: 2024 → 2030</w:t>
            </w:r>
          </w:p>
        </w:tc>
        <w:tc>
          <w:tcPr>
            <w:tcW w:w="738" w:type="pct"/>
            <w:hideMark/>
          </w:tcPr>
          <w:p w14:paraId="300B9965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0,30 → 0,34</w:t>
            </w:r>
          </w:p>
        </w:tc>
        <w:tc>
          <w:tcPr>
            <w:tcW w:w="1102" w:type="pct"/>
            <w:hideMark/>
          </w:tcPr>
          <w:p w14:paraId="48088039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0,30 → 0,55</w:t>
            </w:r>
          </w:p>
        </w:tc>
        <w:tc>
          <w:tcPr>
            <w:tcW w:w="987" w:type="pct"/>
            <w:hideMark/>
          </w:tcPr>
          <w:p w14:paraId="092BDDF5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0,30 → 0,34</w:t>
            </w:r>
          </w:p>
        </w:tc>
        <w:tc>
          <w:tcPr>
            <w:tcW w:w="1199" w:type="pct"/>
            <w:hideMark/>
          </w:tcPr>
          <w:p w14:paraId="72EEABE9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0,30 → 0,55</w:t>
            </w:r>
          </w:p>
        </w:tc>
      </w:tr>
      <w:tr w:rsidR="00AC4073" w:rsidRPr="00AC4073" w14:paraId="7AE54F0E" w14:textId="77777777" w:rsidTr="00AC4073">
        <w:tc>
          <w:tcPr>
            <w:tcW w:w="974" w:type="pct"/>
            <w:hideMark/>
          </w:tcPr>
          <w:p w14:paraId="1BBE8092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R: 2024 → 2030</w:t>
            </w:r>
          </w:p>
        </w:tc>
        <w:tc>
          <w:tcPr>
            <w:tcW w:w="738" w:type="pct"/>
            <w:hideMark/>
          </w:tcPr>
          <w:p w14:paraId="76571064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0,45 → 0,40</w:t>
            </w:r>
          </w:p>
        </w:tc>
        <w:tc>
          <w:tcPr>
            <w:tcW w:w="1102" w:type="pct"/>
            <w:hideMark/>
          </w:tcPr>
          <w:p w14:paraId="051CC4BE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0,45 → 0,40</w:t>
            </w:r>
          </w:p>
        </w:tc>
        <w:tc>
          <w:tcPr>
            <w:tcW w:w="987" w:type="pct"/>
            <w:hideMark/>
          </w:tcPr>
          <w:p w14:paraId="3BB45C9A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0,45 → 0,40</w:t>
            </w:r>
          </w:p>
        </w:tc>
        <w:tc>
          <w:tcPr>
            <w:tcW w:w="1199" w:type="pct"/>
            <w:hideMark/>
          </w:tcPr>
          <w:p w14:paraId="115166E6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0,45 → 0,40</w:t>
            </w:r>
          </w:p>
        </w:tc>
      </w:tr>
      <w:tr w:rsidR="00AC4073" w:rsidRPr="00AC4073" w14:paraId="458BA74F" w14:textId="77777777" w:rsidTr="00AC4073">
        <w:tc>
          <w:tcPr>
            <w:tcW w:w="974" w:type="pct"/>
            <w:hideMark/>
          </w:tcPr>
          <w:p w14:paraId="4A16D38E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Q: 2024 → 2030</w:t>
            </w:r>
          </w:p>
        </w:tc>
        <w:tc>
          <w:tcPr>
            <w:tcW w:w="738" w:type="pct"/>
            <w:hideMark/>
          </w:tcPr>
          <w:p w14:paraId="68BED802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1,00 → 0,90</w:t>
            </w:r>
          </w:p>
        </w:tc>
        <w:tc>
          <w:tcPr>
            <w:tcW w:w="1102" w:type="pct"/>
            <w:hideMark/>
          </w:tcPr>
          <w:p w14:paraId="7C71B45E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1,00 → 0,90</w:t>
            </w:r>
          </w:p>
        </w:tc>
        <w:tc>
          <w:tcPr>
            <w:tcW w:w="987" w:type="pct"/>
            <w:hideMark/>
          </w:tcPr>
          <w:p w14:paraId="31216CB7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1,00 → 0,90</w:t>
            </w:r>
          </w:p>
        </w:tc>
        <w:tc>
          <w:tcPr>
            <w:tcW w:w="1199" w:type="pct"/>
            <w:hideMark/>
          </w:tcPr>
          <w:p w14:paraId="6A5477FA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1,00 → 0,90</w:t>
            </w:r>
          </w:p>
        </w:tc>
      </w:tr>
      <w:tr w:rsidR="00AC4073" w:rsidRPr="00AC4073" w14:paraId="7BA30321" w14:textId="77777777" w:rsidTr="00AC4073">
        <w:tc>
          <w:tcPr>
            <w:tcW w:w="974" w:type="pct"/>
            <w:hideMark/>
          </w:tcPr>
          <w:p w14:paraId="199E5459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Z: 2024 → 2030</w:t>
            </w:r>
          </w:p>
        </w:tc>
        <w:tc>
          <w:tcPr>
            <w:tcW w:w="738" w:type="pct"/>
            <w:hideMark/>
          </w:tcPr>
          <w:p w14:paraId="6A169B38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0,35 → 0,42</w:t>
            </w:r>
          </w:p>
        </w:tc>
        <w:tc>
          <w:tcPr>
            <w:tcW w:w="1102" w:type="pct"/>
            <w:hideMark/>
          </w:tcPr>
          <w:p w14:paraId="004D98BA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0,35 → 0,42</w:t>
            </w:r>
          </w:p>
        </w:tc>
        <w:tc>
          <w:tcPr>
            <w:tcW w:w="987" w:type="pct"/>
            <w:hideMark/>
          </w:tcPr>
          <w:p w14:paraId="3BE8C1D5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0,35 → 0,65</w:t>
            </w:r>
          </w:p>
        </w:tc>
        <w:tc>
          <w:tcPr>
            <w:tcW w:w="1199" w:type="pct"/>
            <w:hideMark/>
          </w:tcPr>
          <w:p w14:paraId="6B60CCF0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0,35 → 0,65</w:t>
            </w:r>
          </w:p>
        </w:tc>
      </w:tr>
    </w:tbl>
    <w:p w14:paraId="19BED168" w14:textId="77777777" w:rsidR="00AC4073" w:rsidRPr="0012042A" w:rsidRDefault="00AC4073" w:rsidP="00AC4073">
      <w:pPr>
        <w:spacing w:after="210"/>
        <w:jc w:val="both"/>
        <w:rPr>
          <w:rFonts w:asciiTheme="majorHAnsi" w:hAnsiTheme="majorHAnsi" w:cstheme="majorHAnsi"/>
        </w:rPr>
      </w:pPr>
    </w:p>
    <w:p w14:paraId="4F48EAF2" w14:textId="77777777" w:rsidR="00292069" w:rsidRDefault="00292069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292069">
        <w:rPr>
          <w:rFonts w:asciiTheme="majorHAnsi" w:hAnsiTheme="majorHAnsi" w:cstheme="majorHAnsi"/>
        </w:rPr>
        <w:t>Значения человеческого капитала, макроэкономического импульса, институциональных ограничений и добычи одинаковы во всех сценариях. Поэтому различия результатов можно связывать непосредственно с технологическими и природоохранными воздействиями, а не с одновременным улучшением всех предпосылок.</w:t>
      </w:r>
    </w:p>
    <w:p w14:paraId="335754BA" w14:textId="082B0AC5" w:rsidR="00715F81" w:rsidRDefault="00AC4073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AC4073">
        <w:rPr>
          <w:rFonts w:asciiTheme="majorHAnsi" w:hAnsiTheme="majorHAnsi" w:cstheme="majorHAnsi"/>
        </w:rPr>
        <w:t xml:space="preserve">Технологический сценарий </w:t>
      </w:r>
      <w:r w:rsidR="00292069">
        <w:rPr>
          <w:rFonts w:asciiTheme="majorHAnsi" w:hAnsiTheme="majorHAnsi" w:cstheme="majorHAnsi"/>
        </w:rPr>
        <w:t xml:space="preserve">(см. рис.1 и 2, а также таблицу 1 здесь и далее), </w:t>
      </w:r>
      <w:r w:rsidRPr="00AC4073">
        <w:rPr>
          <w:rFonts w:asciiTheme="majorHAnsi" w:hAnsiTheme="majorHAnsi" w:cstheme="majorHAnsi"/>
        </w:rPr>
        <w:t xml:space="preserve">преимущественно увеличивает инвестиционно-инновационную активность: значение </w:t>
      </w:r>
      <m:oMath>
        <m:r>
          <w:rPr>
            <w:rFonts w:ascii="Cambria Math" w:hAnsi="Cambria Math" w:cstheme="majorHAnsi"/>
          </w:rPr>
          <m:t>I(2030)</m:t>
        </m:r>
      </m:oMath>
      <w:r w:rsidRPr="00AC4073">
        <w:rPr>
          <w:rFonts w:asciiTheme="majorHAnsi" w:hAnsiTheme="majorHAnsi" w:cstheme="majorHAnsi"/>
        </w:rPr>
        <w:t xml:space="preserve"> возрастает с 0,548 до 0,594. Экологический сценарий снижает нагрузку</w:t>
      </w:r>
      <m:oMath>
        <m:r>
          <w:rPr>
            <w:rFonts w:ascii="Cambria Math" w:hAnsi="Cambria Math" w:cstheme="majorHAnsi"/>
          </w:rPr>
          <m:t xml:space="preserve"> E(2030)</m:t>
        </m:r>
      </m:oMath>
      <w:r w:rsidRPr="00AC4073">
        <w:rPr>
          <w:rFonts w:asciiTheme="majorHAnsi" w:hAnsiTheme="majorHAnsi" w:cstheme="majorHAnsi"/>
        </w:rPr>
        <w:t xml:space="preserve"> с 0,520 до 0,470. Комбинированный сценарий объединяет оба эффекта и обеспечивает наибольшее значение сводного индекса — 0,447. Преимущество над базовым сценарием составляет 0,024 пункта, поэтому различия следует интерпретировать как умеренные.</w:t>
      </w:r>
    </w:p>
    <w:p w14:paraId="4186C37E" w14:textId="49AB4748" w:rsidR="00AC4073" w:rsidRDefault="00AC4073" w:rsidP="00AC4073">
      <w:pPr>
        <w:spacing w:after="210"/>
        <w:jc w:val="both"/>
        <w:rPr>
          <w:rFonts w:asciiTheme="majorHAnsi" w:hAnsiTheme="majorHAnsi" w:cstheme="majorHAnsi"/>
        </w:rPr>
      </w:pPr>
      <w:r w:rsidRPr="00AC4073">
        <w:rPr>
          <w:rFonts w:asciiTheme="majorHAnsi" w:hAnsiTheme="majorHAnsi" w:cstheme="majorHAnsi"/>
          <w:noProof/>
        </w:rPr>
        <w:drawing>
          <wp:inline distT="0" distB="0" distL="0" distR="0" wp14:anchorId="4ADA68B3" wp14:editId="39EADAE3">
            <wp:extent cx="6120130" cy="40551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081B" w14:textId="3246F5D2" w:rsidR="00AC4073" w:rsidRPr="00292069" w:rsidRDefault="00AC4073" w:rsidP="00AC4073">
      <w:pPr>
        <w:spacing w:after="210"/>
        <w:jc w:val="center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Рис. 1 </w:t>
      </w:r>
      <w:r w:rsidR="00292069">
        <w:rPr>
          <w:rFonts w:asciiTheme="majorHAnsi" w:hAnsiTheme="majorHAnsi" w:cstheme="majorHAnsi"/>
          <w:sz w:val="22"/>
        </w:rPr>
        <w:t xml:space="preserve">Потенциалы (рассчитано автором путем численного интегрирования уравнений (4-7) в </w:t>
      </w:r>
      <w:r w:rsidR="00292069">
        <w:rPr>
          <w:rFonts w:asciiTheme="majorHAnsi" w:hAnsiTheme="majorHAnsi" w:cstheme="majorHAnsi"/>
          <w:sz w:val="22"/>
          <w:lang w:val="en-US"/>
        </w:rPr>
        <w:t>Python</w:t>
      </w:r>
      <w:r w:rsidR="00292069">
        <w:rPr>
          <w:rFonts w:asciiTheme="majorHAnsi" w:hAnsiTheme="majorHAnsi" w:cstheme="majorHAnsi"/>
          <w:sz w:val="22"/>
        </w:rPr>
        <w:t>)</w:t>
      </w:r>
    </w:p>
    <w:p w14:paraId="71FA9927" w14:textId="5687FF1E" w:rsidR="00292069" w:rsidRDefault="00292069" w:rsidP="00AC4073">
      <w:pPr>
        <w:spacing w:after="210"/>
        <w:jc w:val="center"/>
        <w:rPr>
          <w:rFonts w:asciiTheme="majorHAnsi" w:hAnsiTheme="majorHAnsi" w:cstheme="majorHAnsi"/>
          <w:sz w:val="22"/>
        </w:rPr>
      </w:pPr>
      <w:r w:rsidRPr="00292069">
        <w:rPr>
          <w:rFonts w:asciiTheme="majorHAnsi" w:hAnsiTheme="majorHAnsi" w:cstheme="majorHAnsi"/>
          <w:noProof/>
          <w:sz w:val="22"/>
        </w:rPr>
        <w:drawing>
          <wp:inline distT="0" distB="0" distL="0" distR="0" wp14:anchorId="3A53046E" wp14:editId="305E75CE">
            <wp:extent cx="6120130" cy="37846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1E55" w14:textId="26F34991" w:rsidR="00292069" w:rsidRDefault="00292069" w:rsidP="00AC4073">
      <w:pPr>
        <w:spacing w:after="210"/>
        <w:jc w:val="center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Рис. 2 Интегральный индекс (рассчитано автором путем численного интегрирования уравнений (4-7) в </w:t>
      </w:r>
      <w:r>
        <w:rPr>
          <w:rFonts w:asciiTheme="majorHAnsi" w:hAnsiTheme="majorHAnsi" w:cstheme="majorHAnsi"/>
          <w:sz w:val="22"/>
          <w:lang w:val="en-US"/>
        </w:rPr>
        <w:t>Python</w:t>
      </w:r>
      <w:r>
        <w:rPr>
          <w:rFonts w:asciiTheme="majorHAnsi" w:hAnsiTheme="majorHAnsi" w:cstheme="majorHAnsi"/>
          <w:sz w:val="22"/>
        </w:rPr>
        <w:t>)</w:t>
      </w:r>
    </w:p>
    <w:p w14:paraId="3EBA6F58" w14:textId="5A71176C" w:rsidR="00292069" w:rsidRDefault="00292069" w:rsidP="00292069">
      <w:pPr>
        <w:keepNext/>
        <w:spacing w:after="210"/>
        <w:ind w:left="720" w:hanging="720"/>
        <w:jc w:val="right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Таблица 1</w:t>
      </w:r>
    </w:p>
    <w:p w14:paraId="6FD46642" w14:textId="107823D5" w:rsidR="00292069" w:rsidRDefault="00292069" w:rsidP="00AC4073">
      <w:pPr>
        <w:spacing w:after="210"/>
        <w:jc w:val="center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Результаты сценарного моделирования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278"/>
        <w:gridCol w:w="1086"/>
        <w:gridCol w:w="1059"/>
        <w:gridCol w:w="1019"/>
        <w:gridCol w:w="1086"/>
        <w:gridCol w:w="1100"/>
      </w:tblGrid>
      <w:tr w:rsidR="00292069" w:rsidRPr="00292069" w14:paraId="0CB0F5D7" w14:textId="77777777" w:rsidTr="00292069">
        <w:tc>
          <w:tcPr>
            <w:tcW w:w="2222" w:type="pct"/>
            <w:hideMark/>
          </w:tcPr>
          <w:p w14:paraId="28453E45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Сценарий</w:t>
            </w:r>
          </w:p>
        </w:tc>
        <w:tc>
          <w:tcPr>
            <w:tcW w:w="564" w:type="pct"/>
            <w:hideMark/>
          </w:tcPr>
          <w:p w14:paraId="0372A78D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T(</w:t>
            </w:r>
            <w:proofErr w:type="gramEnd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2030)</w:t>
            </w:r>
          </w:p>
        </w:tc>
        <w:tc>
          <w:tcPr>
            <w:tcW w:w="550" w:type="pct"/>
            <w:hideMark/>
          </w:tcPr>
          <w:p w14:paraId="60926E77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S(</w:t>
            </w:r>
            <w:proofErr w:type="gramEnd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2030)</w:t>
            </w:r>
          </w:p>
        </w:tc>
        <w:tc>
          <w:tcPr>
            <w:tcW w:w="529" w:type="pct"/>
            <w:hideMark/>
          </w:tcPr>
          <w:p w14:paraId="6CA4A571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I(</w:t>
            </w:r>
            <w:proofErr w:type="gramEnd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2030)</w:t>
            </w:r>
          </w:p>
        </w:tc>
        <w:tc>
          <w:tcPr>
            <w:tcW w:w="564" w:type="pct"/>
            <w:hideMark/>
          </w:tcPr>
          <w:p w14:paraId="036BD491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E(</w:t>
            </w:r>
            <w:proofErr w:type="gramEnd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2030)</w:t>
            </w:r>
          </w:p>
        </w:tc>
        <w:tc>
          <w:tcPr>
            <w:tcW w:w="571" w:type="pct"/>
            <w:hideMark/>
          </w:tcPr>
          <w:p w14:paraId="5AC68389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U(</w:t>
            </w:r>
            <w:proofErr w:type="gramEnd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2030)</w:t>
            </w:r>
          </w:p>
        </w:tc>
      </w:tr>
      <w:tr w:rsidR="00292069" w:rsidRPr="00292069" w14:paraId="71E8B80C" w14:textId="77777777" w:rsidTr="00292069">
        <w:tc>
          <w:tcPr>
            <w:tcW w:w="2222" w:type="pct"/>
            <w:hideMark/>
          </w:tcPr>
          <w:p w14:paraId="7BD3EF20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Базовый</w:t>
            </w:r>
          </w:p>
        </w:tc>
        <w:tc>
          <w:tcPr>
            <w:tcW w:w="564" w:type="pct"/>
            <w:hideMark/>
          </w:tcPr>
          <w:p w14:paraId="0C899D68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0,682</w:t>
            </w:r>
          </w:p>
        </w:tc>
        <w:tc>
          <w:tcPr>
            <w:tcW w:w="550" w:type="pct"/>
            <w:hideMark/>
          </w:tcPr>
          <w:p w14:paraId="16685F26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0,711</w:t>
            </w:r>
          </w:p>
        </w:tc>
        <w:tc>
          <w:tcPr>
            <w:tcW w:w="529" w:type="pct"/>
            <w:hideMark/>
          </w:tcPr>
          <w:p w14:paraId="3D16E968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0,548</w:t>
            </w:r>
          </w:p>
        </w:tc>
        <w:tc>
          <w:tcPr>
            <w:tcW w:w="564" w:type="pct"/>
            <w:hideMark/>
          </w:tcPr>
          <w:p w14:paraId="330501E4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0,520</w:t>
            </w:r>
          </w:p>
        </w:tc>
        <w:tc>
          <w:tcPr>
            <w:tcW w:w="571" w:type="pct"/>
            <w:hideMark/>
          </w:tcPr>
          <w:p w14:paraId="622649C3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0,423</w:t>
            </w:r>
          </w:p>
        </w:tc>
      </w:tr>
      <w:tr w:rsidR="00292069" w:rsidRPr="00292069" w14:paraId="6913A545" w14:textId="77777777" w:rsidTr="00292069">
        <w:tc>
          <w:tcPr>
            <w:tcW w:w="2222" w:type="pct"/>
            <w:hideMark/>
          </w:tcPr>
          <w:p w14:paraId="07E98805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Технологическая модернизация</w:t>
            </w:r>
          </w:p>
        </w:tc>
        <w:tc>
          <w:tcPr>
            <w:tcW w:w="564" w:type="pct"/>
            <w:hideMark/>
          </w:tcPr>
          <w:p w14:paraId="2513CB69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0,688</w:t>
            </w:r>
          </w:p>
        </w:tc>
        <w:tc>
          <w:tcPr>
            <w:tcW w:w="550" w:type="pct"/>
            <w:hideMark/>
          </w:tcPr>
          <w:p w14:paraId="036F3957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0,711</w:t>
            </w:r>
          </w:p>
        </w:tc>
        <w:tc>
          <w:tcPr>
            <w:tcW w:w="529" w:type="pct"/>
            <w:hideMark/>
          </w:tcPr>
          <w:p w14:paraId="5CF768F0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0,594</w:t>
            </w:r>
          </w:p>
        </w:tc>
        <w:tc>
          <w:tcPr>
            <w:tcW w:w="564" w:type="pct"/>
            <w:hideMark/>
          </w:tcPr>
          <w:p w14:paraId="1A81B115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0,520</w:t>
            </w:r>
          </w:p>
        </w:tc>
        <w:tc>
          <w:tcPr>
            <w:tcW w:w="571" w:type="pct"/>
            <w:hideMark/>
          </w:tcPr>
          <w:p w14:paraId="7C7329B3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0,435</w:t>
            </w:r>
          </w:p>
        </w:tc>
      </w:tr>
      <w:tr w:rsidR="00292069" w:rsidRPr="00292069" w14:paraId="6A06924E" w14:textId="77777777" w:rsidTr="00292069">
        <w:tc>
          <w:tcPr>
            <w:tcW w:w="2222" w:type="pct"/>
            <w:hideMark/>
          </w:tcPr>
          <w:p w14:paraId="31B841FA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Экологический</w:t>
            </w:r>
          </w:p>
        </w:tc>
        <w:tc>
          <w:tcPr>
            <w:tcW w:w="564" w:type="pct"/>
            <w:hideMark/>
          </w:tcPr>
          <w:p w14:paraId="04C7DB9B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0,684</w:t>
            </w:r>
          </w:p>
        </w:tc>
        <w:tc>
          <w:tcPr>
            <w:tcW w:w="550" w:type="pct"/>
            <w:hideMark/>
          </w:tcPr>
          <w:p w14:paraId="02407D3D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0,715</w:t>
            </w:r>
          </w:p>
        </w:tc>
        <w:tc>
          <w:tcPr>
            <w:tcW w:w="529" w:type="pct"/>
            <w:hideMark/>
          </w:tcPr>
          <w:p w14:paraId="7F113BE9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0,548</w:t>
            </w:r>
          </w:p>
        </w:tc>
        <w:tc>
          <w:tcPr>
            <w:tcW w:w="564" w:type="pct"/>
            <w:hideMark/>
          </w:tcPr>
          <w:p w14:paraId="53346709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0,470</w:t>
            </w:r>
          </w:p>
        </w:tc>
        <w:tc>
          <w:tcPr>
            <w:tcW w:w="571" w:type="pct"/>
            <w:hideMark/>
          </w:tcPr>
          <w:p w14:paraId="1C61ABBF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0,435</w:t>
            </w:r>
          </w:p>
        </w:tc>
      </w:tr>
      <w:tr w:rsidR="00292069" w:rsidRPr="00292069" w14:paraId="529E333D" w14:textId="77777777" w:rsidTr="00292069">
        <w:tc>
          <w:tcPr>
            <w:tcW w:w="2222" w:type="pct"/>
            <w:hideMark/>
          </w:tcPr>
          <w:p w14:paraId="1927A4F6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Комбинированный</w:t>
            </w:r>
          </w:p>
        </w:tc>
        <w:tc>
          <w:tcPr>
            <w:tcW w:w="564" w:type="pct"/>
            <w:hideMark/>
          </w:tcPr>
          <w:p w14:paraId="20F0370D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0,691</w:t>
            </w:r>
          </w:p>
        </w:tc>
        <w:tc>
          <w:tcPr>
            <w:tcW w:w="550" w:type="pct"/>
            <w:hideMark/>
          </w:tcPr>
          <w:p w14:paraId="3A7CC4B7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0,716</w:t>
            </w:r>
          </w:p>
        </w:tc>
        <w:tc>
          <w:tcPr>
            <w:tcW w:w="529" w:type="pct"/>
            <w:hideMark/>
          </w:tcPr>
          <w:p w14:paraId="5F9375E6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0,594</w:t>
            </w:r>
          </w:p>
        </w:tc>
        <w:tc>
          <w:tcPr>
            <w:tcW w:w="564" w:type="pct"/>
            <w:hideMark/>
          </w:tcPr>
          <w:p w14:paraId="371ED518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0,470</w:t>
            </w:r>
          </w:p>
        </w:tc>
        <w:tc>
          <w:tcPr>
            <w:tcW w:w="571" w:type="pct"/>
            <w:hideMark/>
          </w:tcPr>
          <w:p w14:paraId="34E1B9B5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0,447</w:t>
            </w:r>
          </w:p>
        </w:tc>
      </w:tr>
    </w:tbl>
    <w:p w14:paraId="5923ABA8" w14:textId="77777777" w:rsidR="00292069" w:rsidRPr="00AC4073" w:rsidRDefault="00292069" w:rsidP="00AC4073">
      <w:pPr>
        <w:spacing w:after="210"/>
        <w:jc w:val="center"/>
        <w:rPr>
          <w:rFonts w:asciiTheme="majorHAnsi" w:hAnsiTheme="majorHAnsi" w:cstheme="majorHAnsi"/>
          <w:sz w:val="22"/>
          <w:szCs w:val="22"/>
        </w:rPr>
      </w:pPr>
    </w:p>
    <w:p w14:paraId="385A2B21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bookmarkStart w:id="7" w:name="обсуждение_результатов"/>
      <w:r w:rsidRPr="0012042A">
        <w:rPr>
          <w:rFonts w:asciiTheme="majorHAnsi" w:eastAsia="source serif 4" w:hAnsiTheme="majorHAnsi" w:cstheme="majorHAnsi"/>
          <w:b/>
          <w:color w:val="000000"/>
        </w:rPr>
        <w:t>Обсуждение результатов</w:t>
      </w:r>
      <w:bookmarkEnd w:id="7"/>
    </w:p>
    <w:p w14:paraId="7635565E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Предлагаемая модель не претендует на описание всех производственных, финансовых и институциональных процессов, происходящих в ХМАО–Югре. Ее назначение состоит в выявлении ключевых обратных связей между технологическим развитием, социальной результативностью, инвестиционно-инновационной активностью и экологическими ограничениями. Использование агрегированных индексов делает модель прозрачной для интерпретации и применимой в условиях ограниченности открытых данных.</w:t>
      </w:r>
    </w:p>
    <w:p w14:paraId="773F5BFE" w14:textId="4A29EDBC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Практическая ценность модели состоит в возможности предварительной оценки последствий изменения параметров промышленной политики. Например, рост поддержки технологического обновления без увеличения природоохранных инвестиций способен ускорить технологическое развитие, но не гарантирует снижения экологических рисков. Напротив, согласованное изменение </w:t>
      </w:r>
      <m:oMath>
        <m:r>
          <w:rPr>
            <w:rFonts w:ascii="Cambria Math" w:hAnsi="Cambria Math" w:cstheme="majorHAnsi"/>
            <w:color w:val="000000"/>
          </w:rPr>
          <m:t>P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, </w:t>
      </w:r>
      <m:oMath>
        <m:r>
          <w:rPr>
            <w:rFonts w:ascii="Cambria Math" w:hAnsi="Cambria Math" w:cstheme="majorHAnsi"/>
            <w:color w:val="000000"/>
          </w:rPr>
          <m:t>H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и </w:t>
      </w:r>
      <m:oMath>
        <m:r>
          <w:rPr>
            <w:rFonts w:ascii="Cambria Math" w:hAnsi="Cambria Math" w:cstheme="majorHAnsi"/>
            <w:color w:val="000000"/>
          </w:rPr>
          <m:t>Z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позволяет анализировать условия, при которых технологическая трансформация приводит к более сбалансированному развитию региона.</w:t>
      </w:r>
      <w:r w:rsidR="00E155A8">
        <w:rPr>
          <w:rFonts w:asciiTheme="majorHAnsi" w:eastAsia="source serif 4" w:hAnsiTheme="majorHAnsi" w:cstheme="majorHAnsi"/>
          <w:color w:val="000000"/>
        </w:rPr>
        <w:t xml:space="preserve"> Следует учитывать текущие ограничения, а именно: п</w:t>
      </w:r>
      <w:r w:rsidR="00E155A8" w:rsidRPr="00E155A8">
        <w:rPr>
          <w:rFonts w:asciiTheme="majorHAnsi" w:eastAsia="source serif 4" w:hAnsiTheme="majorHAnsi" w:cstheme="majorHAnsi"/>
          <w:color w:val="000000"/>
        </w:rPr>
        <w:t xml:space="preserve">олученные различия характеризуют свойства заданной структуры модели и сценарных предпосылок. Они не являются статистическим прогнозом фактических значений региональных показателей. Коэффициенты взаимодействия пока не оценены по временным рядам, а значения управленческих воздействий после 2024 года заданы </w:t>
      </w:r>
      <w:proofErr w:type="spellStart"/>
      <w:r w:rsidR="00E155A8" w:rsidRPr="00E155A8">
        <w:rPr>
          <w:rFonts w:asciiTheme="majorHAnsi" w:eastAsia="source serif 4" w:hAnsiTheme="majorHAnsi" w:cstheme="majorHAnsi"/>
          <w:color w:val="000000"/>
        </w:rPr>
        <w:t>экспертно</w:t>
      </w:r>
      <w:proofErr w:type="spellEnd"/>
      <w:r w:rsidR="00E155A8" w:rsidRPr="00E155A8">
        <w:rPr>
          <w:rFonts w:asciiTheme="majorHAnsi" w:eastAsia="source serif 4" w:hAnsiTheme="majorHAnsi" w:cstheme="majorHAnsi"/>
          <w:color w:val="000000"/>
        </w:rPr>
        <w:t>. Поэтому результаты следует рассматривать как предварительную проверку логики сценариев.</w:t>
      </w:r>
    </w:p>
    <w:p w14:paraId="54B90540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Дальнейшее развитие исследования предполагает: уточнение состава индикаторов; оценку параметров на статистических данных; декомпозицию технологического потенциала по нефтегазовому, сервисному, цифровому и экологическому секторам; включение межрегиональных связей; сопоставление ХМАО–Югры с другими ресурсодобывающими субъектами Российской Федерации.</w:t>
      </w:r>
    </w:p>
    <w:p w14:paraId="590B4A54" w14:textId="77777777" w:rsidR="00715F81" w:rsidRPr="0012042A" w:rsidRDefault="00000000" w:rsidP="00CF19FD">
      <w:pPr>
        <w:spacing w:before="315" w:after="105"/>
        <w:ind w:left="-30"/>
        <w:rPr>
          <w:rFonts w:asciiTheme="majorHAnsi" w:hAnsiTheme="majorHAnsi" w:cstheme="majorHAnsi"/>
        </w:rPr>
      </w:pPr>
      <w:bookmarkStart w:id="8" w:name="заключение"/>
      <w:r w:rsidRPr="0012042A">
        <w:rPr>
          <w:rFonts w:asciiTheme="majorHAnsi" w:eastAsia="source serif 4" w:hAnsiTheme="majorHAnsi" w:cstheme="majorHAnsi"/>
          <w:b/>
          <w:color w:val="000000"/>
        </w:rPr>
        <w:t>Заключение</w:t>
      </w:r>
      <w:bookmarkEnd w:id="8"/>
    </w:p>
    <w:p w14:paraId="7A9A2D0B" w14:textId="77777777" w:rsidR="00E155A8" w:rsidRDefault="00E155A8" w:rsidP="00CF19FD">
      <w:pPr>
        <w:spacing w:after="210"/>
        <w:ind w:firstLine="567"/>
        <w:jc w:val="both"/>
        <w:rPr>
          <w:rFonts w:asciiTheme="majorHAnsi" w:eastAsia="source serif 4" w:hAnsiTheme="majorHAnsi" w:cstheme="majorHAnsi"/>
          <w:color w:val="000000"/>
        </w:rPr>
      </w:pPr>
      <w:r w:rsidRPr="00E155A8">
        <w:rPr>
          <w:rFonts w:asciiTheme="majorHAnsi" w:eastAsia="source serif 4" w:hAnsiTheme="majorHAnsi" w:cstheme="majorHAnsi"/>
          <w:color w:val="000000"/>
        </w:rPr>
        <w:t xml:space="preserve">Предложенная нелинейная модель обеспечивает сохранение технологического, социально-экономического, инвестиционно-инновационного и экологического индексов в диапазоне от 0 до 1. Предварительный расчёт на 2024–2030 годы показал, что технологические меры преимущественно влияют на инвестиционно-инновационную активность, а природоохранные меры — на экологическую нагрузку. </w:t>
      </w:r>
    </w:p>
    <w:p w14:paraId="43966D31" w14:textId="77777777" w:rsidR="00E155A8" w:rsidRDefault="00E155A8" w:rsidP="00CF19FD">
      <w:pPr>
        <w:spacing w:after="210"/>
        <w:ind w:firstLine="567"/>
        <w:jc w:val="both"/>
        <w:rPr>
          <w:rFonts w:asciiTheme="majorHAnsi" w:eastAsia="source serif 4" w:hAnsiTheme="majorHAnsi" w:cstheme="majorHAnsi"/>
          <w:color w:val="000000"/>
        </w:rPr>
      </w:pPr>
      <w:r w:rsidRPr="00E155A8">
        <w:rPr>
          <w:rFonts w:asciiTheme="majorHAnsi" w:eastAsia="source serif 4" w:hAnsiTheme="majorHAnsi" w:cstheme="majorHAnsi"/>
          <w:color w:val="000000"/>
        </w:rPr>
        <w:t>Совместное применение мер обеспечивает значение сводного индекса 0,447 против 0,423 в базовом сценарии. Для перехода от сценарного эксперимента к эмпирическому прогнозу требуется сформировать наблюдаемые индексы и оценить коэффициенты модели по региональным временным рядам.</w:t>
      </w:r>
    </w:p>
    <w:p w14:paraId="33E0EBE8" w14:textId="07BEF3AA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Применение модели к ХМАО–Югре позволяет перейти от статического сопоставления отдельных показателей к сценарной оценке последствий промышленной политики. Численная реализация в Python обеспечивает воспроизводимость расчетов, возможность калибровки параметров и сопоставления инерционного, технологически ориентированного и сбалансированного сценариев развития.</w:t>
      </w:r>
    </w:p>
    <w:p w14:paraId="56C6F45A" w14:textId="77777777" w:rsidR="00715F81" w:rsidRPr="002763F0" w:rsidRDefault="00000000" w:rsidP="00CF19FD">
      <w:pPr>
        <w:spacing w:before="315" w:after="105"/>
        <w:ind w:left="-30"/>
        <w:rPr>
          <w:rFonts w:asciiTheme="majorHAnsi" w:hAnsiTheme="majorHAnsi" w:cstheme="majorHAnsi"/>
          <w:lang w:val="en-US"/>
        </w:rPr>
      </w:pPr>
      <w:bookmarkStart w:id="9" w:name="литература"/>
      <w:r w:rsidRPr="0012042A">
        <w:rPr>
          <w:rFonts w:asciiTheme="majorHAnsi" w:eastAsia="source serif 4" w:hAnsiTheme="majorHAnsi" w:cstheme="majorHAnsi"/>
          <w:b/>
          <w:color w:val="000000"/>
        </w:rPr>
        <w:t>Литература</w:t>
      </w:r>
      <w:bookmarkEnd w:id="9"/>
    </w:p>
    <w:p w14:paraId="608B9AED" w14:textId="522C9D9A" w:rsidR="00520BCC" w:rsidRPr="00520BCC" w:rsidRDefault="00520BCC" w:rsidP="00520BCC">
      <w:pPr>
        <w:spacing w:after="210"/>
        <w:ind w:firstLine="56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1. </w:t>
      </w:r>
      <w:r w:rsidRPr="00520BCC">
        <w:rPr>
          <w:rFonts w:asciiTheme="majorHAnsi" w:hAnsiTheme="majorHAnsi" w:cstheme="majorHAnsi"/>
        </w:rPr>
        <w:t>Бородин С. Н. Модель оценки устойчивого развития региона на основе индексного метода // Экономика региона. 2023. Т. 19, № 1. С. 45–59. https://doi.org/10.17059/ekon.reg.2023-1-4</w:t>
      </w:r>
    </w:p>
    <w:p w14:paraId="6DC49D05" w14:textId="52DB4999" w:rsidR="00520BCC" w:rsidRPr="00520BCC" w:rsidRDefault="00520BCC" w:rsidP="00520BCC">
      <w:pPr>
        <w:spacing w:after="210"/>
        <w:ind w:firstLine="56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2. </w:t>
      </w:r>
      <w:r w:rsidRPr="00520BCC">
        <w:rPr>
          <w:rFonts w:asciiTheme="majorHAnsi" w:hAnsiTheme="majorHAnsi" w:cstheme="majorHAnsi"/>
        </w:rPr>
        <w:t>Демидова К. В., Баринова В. А., Гвоздева М. А. Экологические риски и устойчивое развитие российских регионов в условиях кризисов // R-</w:t>
      </w:r>
      <w:proofErr w:type="spellStart"/>
      <w:r w:rsidRPr="00520BCC">
        <w:rPr>
          <w:rFonts w:asciiTheme="majorHAnsi" w:hAnsiTheme="majorHAnsi" w:cstheme="majorHAnsi"/>
        </w:rPr>
        <w:t>Economy</w:t>
      </w:r>
      <w:proofErr w:type="spellEnd"/>
      <w:r w:rsidRPr="00520BCC">
        <w:rPr>
          <w:rFonts w:asciiTheme="majorHAnsi" w:hAnsiTheme="majorHAnsi" w:cstheme="majorHAnsi"/>
        </w:rPr>
        <w:t>. 2024. Т. 10, № 4. С. 427–443. https://doi.org/10.15826/recon.2024.10.4.026</w:t>
      </w:r>
    </w:p>
    <w:p w14:paraId="73927976" w14:textId="3B747B0A" w:rsidR="00520BCC" w:rsidRPr="00520BCC" w:rsidRDefault="00520BCC" w:rsidP="00520BCC">
      <w:pPr>
        <w:spacing w:after="210"/>
        <w:ind w:firstLine="56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3. </w:t>
      </w:r>
      <w:r w:rsidRPr="00520BCC">
        <w:rPr>
          <w:rFonts w:asciiTheme="majorHAnsi" w:hAnsiTheme="majorHAnsi" w:cstheme="majorHAnsi"/>
        </w:rPr>
        <w:t xml:space="preserve">Стратегия социально-экономического развития Ханты-Мансийского автономного округа – Югры до 2036 года с целевыми ориентирами до 2050 </w:t>
      </w:r>
      <w:proofErr w:type="gramStart"/>
      <w:r w:rsidRPr="00520BCC">
        <w:rPr>
          <w:rFonts w:asciiTheme="majorHAnsi" w:hAnsiTheme="majorHAnsi" w:cstheme="majorHAnsi"/>
        </w:rPr>
        <w:t>года :</w:t>
      </w:r>
      <w:proofErr w:type="gramEnd"/>
      <w:r w:rsidRPr="00520BCC">
        <w:rPr>
          <w:rFonts w:asciiTheme="majorHAnsi" w:hAnsiTheme="majorHAnsi" w:cstheme="majorHAnsi"/>
        </w:rPr>
        <w:t xml:space="preserve"> распоряжение Правительства Ханты-Мансийского автономного округа – Югры от 03.11.2022 № 679-рп // Официальный сайт органов государственной власти Ханты-Мансийского автономного округа – Югры. URL: https://econ.sovrnhmao.ru/s-e-r/2030.php (дата обращения: 04.09.2026).</w:t>
      </w:r>
    </w:p>
    <w:p w14:paraId="2868DC30" w14:textId="2FCFCFFE" w:rsidR="00520BCC" w:rsidRPr="00520BCC" w:rsidRDefault="00520BCC" w:rsidP="00520BCC">
      <w:pPr>
        <w:spacing w:after="210"/>
        <w:ind w:firstLine="56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4. </w:t>
      </w:r>
      <w:r w:rsidRPr="00520BCC">
        <w:rPr>
          <w:rFonts w:asciiTheme="majorHAnsi" w:hAnsiTheme="majorHAnsi" w:cstheme="majorHAnsi"/>
        </w:rPr>
        <w:t>Федеральная служба государственной статистики. Единая межведомственная информационно-статистическая система. URL: https://www.fedstat.ru/ (дата обращения: 04.09.2026).</w:t>
      </w:r>
    </w:p>
    <w:p w14:paraId="2EA08B91" w14:textId="17E206D3" w:rsidR="00520BCC" w:rsidRPr="00520BCC" w:rsidRDefault="00520BCC" w:rsidP="00520BCC">
      <w:pPr>
        <w:spacing w:after="210"/>
        <w:ind w:firstLine="567"/>
        <w:rPr>
          <w:rFonts w:asciiTheme="majorHAnsi" w:hAnsiTheme="majorHAnsi" w:cstheme="majorHAnsi"/>
        </w:rPr>
      </w:pPr>
      <w:r w:rsidRPr="00520BCC">
        <w:rPr>
          <w:rFonts w:asciiTheme="majorHAnsi" w:hAnsiTheme="majorHAnsi" w:cstheme="majorHAnsi"/>
          <w:lang w:val="en-US"/>
        </w:rPr>
        <w:t xml:space="preserve">5. </w:t>
      </w:r>
      <w:r w:rsidRPr="00520BCC">
        <w:rPr>
          <w:rFonts w:asciiTheme="majorHAnsi" w:hAnsiTheme="majorHAnsi" w:cstheme="majorHAnsi"/>
          <w:lang w:val="en-US"/>
        </w:rPr>
        <w:t xml:space="preserve">Alexeev M., </w:t>
      </w:r>
      <w:proofErr w:type="spellStart"/>
      <w:r w:rsidRPr="00520BCC">
        <w:rPr>
          <w:rFonts w:asciiTheme="majorHAnsi" w:hAnsiTheme="majorHAnsi" w:cstheme="majorHAnsi"/>
          <w:lang w:val="en-US"/>
        </w:rPr>
        <w:t>Chernyavskiy</w:t>
      </w:r>
      <w:proofErr w:type="spellEnd"/>
      <w:r w:rsidRPr="00520BCC">
        <w:rPr>
          <w:rFonts w:asciiTheme="majorHAnsi" w:hAnsiTheme="majorHAnsi" w:cstheme="majorHAnsi"/>
          <w:lang w:val="en-US"/>
        </w:rPr>
        <w:t xml:space="preserve"> A. Taxation of natural resources and economic growth in Russia's regions // Economic Systems. </w:t>
      </w:r>
      <w:r w:rsidRPr="00520BCC">
        <w:rPr>
          <w:rFonts w:asciiTheme="majorHAnsi" w:hAnsiTheme="majorHAnsi" w:cstheme="majorHAnsi"/>
        </w:rPr>
        <w:t>2015. Vol. 39, no. 2. P. 317–338. https://doi.org/10.1016/j.ecosys.2014.11.005</w:t>
      </w:r>
    </w:p>
    <w:p w14:paraId="70CA5B52" w14:textId="0EB1BB9B" w:rsidR="00520BCC" w:rsidRPr="00520BCC" w:rsidRDefault="00520BCC" w:rsidP="00520BCC">
      <w:pPr>
        <w:spacing w:after="210"/>
        <w:ind w:firstLine="567"/>
        <w:rPr>
          <w:rFonts w:asciiTheme="majorHAnsi" w:hAnsiTheme="majorHAnsi" w:cstheme="majorHAnsi"/>
        </w:rPr>
      </w:pPr>
      <w:r w:rsidRPr="00520BCC">
        <w:rPr>
          <w:rFonts w:asciiTheme="majorHAnsi" w:hAnsiTheme="majorHAnsi" w:cstheme="majorHAnsi"/>
          <w:lang w:val="en-US"/>
        </w:rPr>
        <w:t xml:space="preserve">6. </w:t>
      </w:r>
      <w:r w:rsidRPr="00520BCC">
        <w:rPr>
          <w:rFonts w:asciiTheme="majorHAnsi" w:hAnsiTheme="majorHAnsi" w:cstheme="majorHAnsi"/>
          <w:lang w:val="en-US"/>
        </w:rPr>
        <w:t xml:space="preserve">Asheim B. T., Gertler M. S. The geography of innovation: Regional innovation systems // The Oxford Handbook of Innovation / eds. </w:t>
      </w:r>
      <w:r w:rsidRPr="00520BCC">
        <w:rPr>
          <w:rFonts w:asciiTheme="majorHAnsi" w:hAnsiTheme="majorHAnsi" w:cstheme="majorHAnsi"/>
        </w:rPr>
        <w:t xml:space="preserve">J. Fagerberg, D. C. Mowery, R. R. Nelson. </w:t>
      </w:r>
      <w:proofErr w:type="gramStart"/>
      <w:r w:rsidRPr="00520BCC">
        <w:rPr>
          <w:rFonts w:asciiTheme="majorHAnsi" w:hAnsiTheme="majorHAnsi" w:cstheme="majorHAnsi"/>
        </w:rPr>
        <w:t>Oxford :</w:t>
      </w:r>
      <w:proofErr w:type="gramEnd"/>
      <w:r w:rsidRPr="00520BCC">
        <w:rPr>
          <w:rFonts w:asciiTheme="majorHAnsi" w:hAnsiTheme="majorHAnsi" w:cstheme="majorHAnsi"/>
        </w:rPr>
        <w:t xml:space="preserve"> Oxford University Press, 2005. P. 291–317. https://doi.org/10.1093/oxfordhb/9780199286805.003.0011</w:t>
      </w:r>
    </w:p>
    <w:p w14:paraId="0AE495A5" w14:textId="38337DB6" w:rsidR="00520BCC" w:rsidRPr="00520BCC" w:rsidRDefault="00520BCC" w:rsidP="00520BCC">
      <w:pPr>
        <w:spacing w:after="210"/>
        <w:ind w:firstLine="567"/>
        <w:rPr>
          <w:rFonts w:asciiTheme="majorHAnsi" w:hAnsiTheme="majorHAnsi" w:cstheme="majorHAnsi"/>
        </w:rPr>
      </w:pPr>
      <w:r w:rsidRPr="00520BCC">
        <w:rPr>
          <w:rFonts w:asciiTheme="majorHAnsi" w:hAnsiTheme="majorHAnsi" w:cstheme="majorHAnsi"/>
          <w:lang w:val="en-US"/>
        </w:rPr>
        <w:t xml:space="preserve">7. </w:t>
      </w:r>
      <w:r w:rsidRPr="00520BCC">
        <w:rPr>
          <w:rFonts w:asciiTheme="majorHAnsi" w:hAnsiTheme="majorHAnsi" w:cstheme="majorHAnsi"/>
          <w:lang w:val="en-US"/>
        </w:rPr>
        <w:t xml:space="preserve">Cooke P., </w:t>
      </w:r>
      <w:proofErr w:type="spellStart"/>
      <w:r w:rsidRPr="00520BCC">
        <w:rPr>
          <w:rFonts w:asciiTheme="majorHAnsi" w:hAnsiTheme="majorHAnsi" w:cstheme="majorHAnsi"/>
          <w:lang w:val="en-US"/>
        </w:rPr>
        <w:t>Uranga</w:t>
      </w:r>
      <w:proofErr w:type="spellEnd"/>
      <w:r w:rsidRPr="00520BCC">
        <w:rPr>
          <w:rFonts w:asciiTheme="majorHAnsi" w:hAnsiTheme="majorHAnsi" w:cstheme="majorHAnsi"/>
          <w:lang w:val="en-US"/>
        </w:rPr>
        <w:t xml:space="preserve"> M. G., </w:t>
      </w:r>
      <w:proofErr w:type="spellStart"/>
      <w:r w:rsidRPr="00520BCC">
        <w:rPr>
          <w:rFonts w:asciiTheme="majorHAnsi" w:hAnsiTheme="majorHAnsi" w:cstheme="majorHAnsi"/>
          <w:lang w:val="en-US"/>
        </w:rPr>
        <w:t>Etxebarria</w:t>
      </w:r>
      <w:proofErr w:type="spellEnd"/>
      <w:r w:rsidRPr="00520BCC">
        <w:rPr>
          <w:rFonts w:asciiTheme="majorHAnsi" w:hAnsiTheme="majorHAnsi" w:cstheme="majorHAnsi"/>
          <w:lang w:val="en-US"/>
        </w:rPr>
        <w:t xml:space="preserve"> G. Regional innovation systems: Institutional and </w:t>
      </w:r>
      <w:proofErr w:type="spellStart"/>
      <w:r w:rsidRPr="00520BCC">
        <w:rPr>
          <w:rFonts w:asciiTheme="majorHAnsi" w:hAnsiTheme="majorHAnsi" w:cstheme="majorHAnsi"/>
          <w:lang w:val="en-US"/>
        </w:rPr>
        <w:t>organisational</w:t>
      </w:r>
      <w:proofErr w:type="spellEnd"/>
      <w:r w:rsidRPr="00520BCC">
        <w:rPr>
          <w:rFonts w:asciiTheme="majorHAnsi" w:hAnsiTheme="majorHAnsi" w:cstheme="majorHAnsi"/>
          <w:lang w:val="en-US"/>
        </w:rPr>
        <w:t xml:space="preserve"> dimensions // Research Policy. </w:t>
      </w:r>
      <w:r w:rsidRPr="00520BCC">
        <w:rPr>
          <w:rFonts w:asciiTheme="majorHAnsi" w:hAnsiTheme="majorHAnsi" w:cstheme="majorHAnsi"/>
        </w:rPr>
        <w:t>1997. Vol. 26, no. 4–5. P. 475–491. https://doi.org/10.1016/S0048-7333(97)00025-5</w:t>
      </w:r>
    </w:p>
    <w:p w14:paraId="01B38128" w14:textId="2B510B42" w:rsidR="00520BCC" w:rsidRPr="00520BCC" w:rsidRDefault="00520BCC" w:rsidP="00520BCC">
      <w:pPr>
        <w:spacing w:after="210"/>
        <w:ind w:firstLine="567"/>
        <w:rPr>
          <w:rFonts w:asciiTheme="majorHAnsi" w:hAnsiTheme="majorHAnsi" w:cstheme="majorHAnsi"/>
        </w:rPr>
      </w:pPr>
      <w:r w:rsidRPr="00520BCC">
        <w:rPr>
          <w:rFonts w:asciiTheme="majorHAnsi" w:hAnsiTheme="majorHAnsi" w:cstheme="majorHAnsi"/>
          <w:lang w:val="en-US"/>
        </w:rPr>
        <w:t xml:space="preserve">8. </w:t>
      </w:r>
      <w:proofErr w:type="spellStart"/>
      <w:r w:rsidRPr="00520BCC">
        <w:rPr>
          <w:rFonts w:asciiTheme="majorHAnsi" w:hAnsiTheme="majorHAnsi" w:cstheme="majorHAnsi"/>
          <w:lang w:val="en-US"/>
        </w:rPr>
        <w:t>Etzkowitz</w:t>
      </w:r>
      <w:proofErr w:type="spellEnd"/>
      <w:r w:rsidRPr="00520BCC">
        <w:rPr>
          <w:rFonts w:asciiTheme="majorHAnsi" w:hAnsiTheme="majorHAnsi" w:cstheme="majorHAnsi"/>
          <w:lang w:val="en-US"/>
        </w:rPr>
        <w:t xml:space="preserve"> H., </w:t>
      </w:r>
      <w:proofErr w:type="spellStart"/>
      <w:r w:rsidRPr="00520BCC">
        <w:rPr>
          <w:rFonts w:asciiTheme="majorHAnsi" w:hAnsiTheme="majorHAnsi" w:cstheme="majorHAnsi"/>
          <w:lang w:val="en-US"/>
        </w:rPr>
        <w:t>Leydesdorff</w:t>
      </w:r>
      <w:proofErr w:type="spellEnd"/>
      <w:r w:rsidRPr="00520BCC">
        <w:rPr>
          <w:rFonts w:asciiTheme="majorHAnsi" w:hAnsiTheme="majorHAnsi" w:cstheme="majorHAnsi"/>
          <w:lang w:val="en-US"/>
        </w:rPr>
        <w:t xml:space="preserve"> L. The Triple Helix — University–Industry–Government Relations: A Laboratory for Knowledge Based Economic Development // EASST Review. </w:t>
      </w:r>
      <w:r w:rsidRPr="00520BCC">
        <w:rPr>
          <w:rFonts w:asciiTheme="majorHAnsi" w:hAnsiTheme="majorHAnsi" w:cstheme="majorHAnsi"/>
        </w:rPr>
        <w:t>1995. Vol. 14, no. 1. P. 14–19.</w:t>
      </w:r>
    </w:p>
    <w:p w14:paraId="53A1C3B1" w14:textId="4173BE14" w:rsidR="00520BCC" w:rsidRPr="00520BCC" w:rsidRDefault="00520BCC" w:rsidP="00520BCC">
      <w:pPr>
        <w:spacing w:after="210"/>
        <w:ind w:firstLine="567"/>
        <w:rPr>
          <w:rFonts w:asciiTheme="majorHAnsi" w:hAnsiTheme="majorHAnsi" w:cstheme="majorHAnsi"/>
        </w:rPr>
      </w:pPr>
      <w:r w:rsidRPr="00520BCC">
        <w:rPr>
          <w:rFonts w:asciiTheme="majorHAnsi" w:hAnsiTheme="majorHAnsi" w:cstheme="majorHAnsi"/>
          <w:lang w:val="en-US"/>
        </w:rPr>
        <w:t xml:space="preserve">9. </w:t>
      </w:r>
      <w:r w:rsidRPr="00520BCC">
        <w:rPr>
          <w:rFonts w:asciiTheme="majorHAnsi" w:hAnsiTheme="majorHAnsi" w:cstheme="majorHAnsi"/>
          <w:lang w:val="en-US"/>
        </w:rPr>
        <w:t xml:space="preserve">Hou R., Zhang L., Wang Y., Liu X. Research on the Optimization Path of Regional Innovation Development Based on System Dynamics // Sustainability. </w:t>
      </w:r>
      <w:r w:rsidRPr="00520BCC">
        <w:rPr>
          <w:rFonts w:asciiTheme="majorHAnsi" w:hAnsiTheme="majorHAnsi" w:cstheme="majorHAnsi"/>
        </w:rPr>
        <w:t>2024. Vol. 16, no. 11. Art. 4869. https://doi.org/10.3390/su16114869</w:t>
      </w:r>
    </w:p>
    <w:p w14:paraId="65C1446D" w14:textId="7F7074BA" w:rsidR="00520BCC" w:rsidRPr="00520BCC" w:rsidRDefault="00520BCC" w:rsidP="00520BCC">
      <w:pPr>
        <w:spacing w:after="210"/>
        <w:ind w:firstLine="567"/>
        <w:rPr>
          <w:rFonts w:asciiTheme="majorHAnsi" w:hAnsiTheme="majorHAnsi" w:cstheme="majorHAnsi"/>
        </w:rPr>
      </w:pPr>
      <w:r w:rsidRPr="00520BCC">
        <w:rPr>
          <w:rFonts w:asciiTheme="majorHAnsi" w:hAnsiTheme="majorHAnsi" w:cstheme="majorHAnsi"/>
          <w:lang w:val="en-US"/>
        </w:rPr>
        <w:t xml:space="preserve">10. </w:t>
      </w:r>
      <w:proofErr w:type="spellStart"/>
      <w:r w:rsidRPr="00520BCC">
        <w:rPr>
          <w:rFonts w:asciiTheme="majorHAnsi" w:hAnsiTheme="majorHAnsi" w:cstheme="majorHAnsi"/>
          <w:lang w:val="en-US"/>
        </w:rPr>
        <w:t>Kryazhimskiy</w:t>
      </w:r>
      <w:proofErr w:type="spellEnd"/>
      <w:r w:rsidRPr="00520BCC">
        <w:rPr>
          <w:rFonts w:asciiTheme="majorHAnsi" w:hAnsiTheme="majorHAnsi" w:cstheme="majorHAnsi"/>
          <w:lang w:val="en-US"/>
        </w:rPr>
        <w:t xml:space="preserve"> A. V., </w:t>
      </w:r>
      <w:proofErr w:type="spellStart"/>
      <w:r w:rsidRPr="00520BCC">
        <w:rPr>
          <w:rFonts w:asciiTheme="majorHAnsi" w:hAnsiTheme="majorHAnsi" w:cstheme="majorHAnsi"/>
          <w:lang w:val="en-US"/>
        </w:rPr>
        <w:t>Tarasyev</w:t>
      </w:r>
      <w:proofErr w:type="spellEnd"/>
      <w:r w:rsidRPr="00520BCC">
        <w:rPr>
          <w:rFonts w:asciiTheme="majorHAnsi" w:hAnsiTheme="majorHAnsi" w:cstheme="majorHAnsi"/>
          <w:lang w:val="en-US"/>
        </w:rPr>
        <w:t xml:space="preserve"> A. M., </w:t>
      </w:r>
      <w:proofErr w:type="spellStart"/>
      <w:r w:rsidRPr="00520BCC">
        <w:rPr>
          <w:rFonts w:asciiTheme="majorHAnsi" w:hAnsiTheme="majorHAnsi" w:cstheme="majorHAnsi"/>
          <w:lang w:val="en-US"/>
        </w:rPr>
        <w:t>Usova</w:t>
      </w:r>
      <w:proofErr w:type="spellEnd"/>
      <w:r w:rsidRPr="00520BCC">
        <w:rPr>
          <w:rFonts w:asciiTheme="majorHAnsi" w:hAnsiTheme="majorHAnsi" w:cstheme="majorHAnsi"/>
          <w:lang w:val="en-US"/>
        </w:rPr>
        <w:t xml:space="preserve"> A. A., Wang W. Proportional economic growth under conditions of limited natural resources // Proceedings of the </w:t>
      </w:r>
      <w:proofErr w:type="spellStart"/>
      <w:r w:rsidRPr="00520BCC">
        <w:rPr>
          <w:rFonts w:asciiTheme="majorHAnsi" w:hAnsiTheme="majorHAnsi" w:cstheme="majorHAnsi"/>
          <w:lang w:val="en-US"/>
        </w:rPr>
        <w:t>Steklov</w:t>
      </w:r>
      <w:proofErr w:type="spellEnd"/>
      <w:r w:rsidRPr="00520BCC">
        <w:rPr>
          <w:rFonts w:asciiTheme="majorHAnsi" w:hAnsiTheme="majorHAnsi" w:cstheme="majorHAnsi"/>
          <w:lang w:val="en-US"/>
        </w:rPr>
        <w:t xml:space="preserve"> Institute of Mathematics. </w:t>
      </w:r>
      <w:r w:rsidRPr="00520BCC">
        <w:rPr>
          <w:rFonts w:asciiTheme="majorHAnsi" w:hAnsiTheme="majorHAnsi" w:cstheme="majorHAnsi"/>
        </w:rPr>
        <w:t>2015. Vol. 291, suppl. 1. P. S135–S149. https://doi.org/10.1134/S008154381508012X</w:t>
      </w:r>
    </w:p>
    <w:p w14:paraId="1EF69410" w14:textId="337AAFA9" w:rsidR="00520BCC" w:rsidRPr="00520BCC" w:rsidRDefault="00520BCC" w:rsidP="00520BCC">
      <w:pPr>
        <w:spacing w:after="210"/>
        <w:ind w:firstLine="567"/>
        <w:rPr>
          <w:rFonts w:asciiTheme="majorHAnsi" w:hAnsiTheme="majorHAnsi" w:cstheme="majorHAnsi"/>
        </w:rPr>
      </w:pPr>
      <w:r w:rsidRPr="00520BCC">
        <w:rPr>
          <w:rFonts w:asciiTheme="majorHAnsi" w:hAnsiTheme="majorHAnsi" w:cstheme="majorHAnsi"/>
          <w:lang w:val="en-US"/>
        </w:rPr>
        <w:t xml:space="preserve">11. </w:t>
      </w:r>
      <w:r w:rsidRPr="00520BCC">
        <w:rPr>
          <w:rFonts w:asciiTheme="majorHAnsi" w:hAnsiTheme="majorHAnsi" w:cstheme="majorHAnsi"/>
          <w:lang w:val="en-US"/>
        </w:rPr>
        <w:t xml:space="preserve">Sachs J. D., Warner A. M. Natural Resource Abundance and Economic Growth // NBER Working Paper. </w:t>
      </w:r>
      <w:r w:rsidRPr="00520BCC">
        <w:rPr>
          <w:rFonts w:asciiTheme="majorHAnsi" w:hAnsiTheme="majorHAnsi" w:cstheme="majorHAnsi"/>
        </w:rPr>
        <w:t>1995. No. 5398. https://doi.org/10.3386/w5398</w:t>
      </w:r>
    </w:p>
    <w:p w14:paraId="1E126C64" w14:textId="2F3AA809" w:rsidR="00520BCC" w:rsidRPr="00520BCC" w:rsidRDefault="00520BCC" w:rsidP="00520BCC">
      <w:pPr>
        <w:spacing w:after="210"/>
        <w:ind w:firstLine="567"/>
        <w:rPr>
          <w:rFonts w:asciiTheme="majorHAnsi" w:hAnsiTheme="majorHAnsi" w:cstheme="majorHAnsi"/>
          <w:lang w:val="en-US"/>
        </w:rPr>
      </w:pPr>
      <w:r w:rsidRPr="00520BCC">
        <w:rPr>
          <w:rFonts w:asciiTheme="majorHAnsi" w:hAnsiTheme="majorHAnsi" w:cstheme="majorHAnsi"/>
          <w:lang w:val="en-US"/>
        </w:rPr>
        <w:t xml:space="preserve">12. </w:t>
      </w:r>
      <w:r w:rsidRPr="00520BCC">
        <w:rPr>
          <w:rFonts w:asciiTheme="majorHAnsi" w:hAnsiTheme="majorHAnsi" w:cstheme="majorHAnsi"/>
          <w:lang w:val="en-US"/>
        </w:rPr>
        <w:t xml:space="preserve">Samara E., </w:t>
      </w:r>
      <w:proofErr w:type="spellStart"/>
      <w:r w:rsidRPr="00520BCC">
        <w:rPr>
          <w:rFonts w:asciiTheme="majorHAnsi" w:hAnsiTheme="majorHAnsi" w:cstheme="majorHAnsi"/>
          <w:lang w:val="en-US"/>
        </w:rPr>
        <w:t>Kilintzis</w:t>
      </w:r>
      <w:proofErr w:type="spellEnd"/>
      <w:r w:rsidRPr="00520BCC">
        <w:rPr>
          <w:rFonts w:asciiTheme="majorHAnsi" w:hAnsiTheme="majorHAnsi" w:cstheme="majorHAnsi"/>
          <w:lang w:val="en-US"/>
        </w:rPr>
        <w:t xml:space="preserve"> P., </w:t>
      </w:r>
      <w:proofErr w:type="spellStart"/>
      <w:r w:rsidRPr="00520BCC">
        <w:rPr>
          <w:rFonts w:asciiTheme="majorHAnsi" w:hAnsiTheme="majorHAnsi" w:cstheme="majorHAnsi"/>
          <w:lang w:val="en-US"/>
        </w:rPr>
        <w:t>Katsoras</w:t>
      </w:r>
      <w:proofErr w:type="spellEnd"/>
      <w:r w:rsidRPr="00520BCC">
        <w:rPr>
          <w:rFonts w:asciiTheme="majorHAnsi" w:hAnsiTheme="majorHAnsi" w:cstheme="majorHAnsi"/>
          <w:lang w:val="en-US"/>
        </w:rPr>
        <w:t xml:space="preserve"> E., </w:t>
      </w:r>
      <w:proofErr w:type="spellStart"/>
      <w:r w:rsidRPr="00520BCC">
        <w:rPr>
          <w:rFonts w:asciiTheme="majorHAnsi" w:hAnsiTheme="majorHAnsi" w:cstheme="majorHAnsi"/>
          <w:lang w:val="en-US"/>
        </w:rPr>
        <w:t>Martnidis</w:t>
      </w:r>
      <w:proofErr w:type="spellEnd"/>
      <w:r w:rsidRPr="00520BCC">
        <w:rPr>
          <w:rFonts w:asciiTheme="majorHAnsi" w:hAnsiTheme="majorHAnsi" w:cstheme="majorHAnsi"/>
          <w:lang w:val="en-US"/>
        </w:rPr>
        <w:t xml:space="preserve"> G., Kosti P. A system dynamics approach for the development of a Regional Innovation System // Journal of Innovation and Entrepreneurship. </w:t>
      </w:r>
      <w:r w:rsidRPr="00520BCC">
        <w:rPr>
          <w:rFonts w:asciiTheme="majorHAnsi" w:hAnsiTheme="majorHAnsi" w:cstheme="majorHAnsi"/>
        </w:rPr>
        <w:t>2024. V</w:t>
      </w:r>
      <w:proofErr w:type="spellStart"/>
      <w:r w:rsidRPr="00520BCC">
        <w:rPr>
          <w:rFonts w:asciiTheme="majorHAnsi" w:hAnsiTheme="majorHAnsi" w:cstheme="majorHAnsi"/>
        </w:rPr>
        <w:t>ol</w:t>
      </w:r>
      <w:proofErr w:type="spellEnd"/>
      <w:r w:rsidRPr="00520BCC">
        <w:rPr>
          <w:rFonts w:asciiTheme="majorHAnsi" w:hAnsiTheme="majorHAnsi" w:cstheme="majorHAnsi"/>
        </w:rPr>
        <w:t xml:space="preserve">. 13, </w:t>
      </w:r>
      <w:proofErr w:type="spellStart"/>
      <w:r w:rsidRPr="00520BCC">
        <w:rPr>
          <w:rFonts w:asciiTheme="majorHAnsi" w:hAnsiTheme="majorHAnsi" w:cstheme="majorHAnsi"/>
        </w:rPr>
        <w:t>no</w:t>
      </w:r>
      <w:proofErr w:type="spellEnd"/>
      <w:r w:rsidRPr="00520BCC">
        <w:rPr>
          <w:rFonts w:asciiTheme="majorHAnsi" w:hAnsiTheme="majorHAnsi" w:cstheme="majorHAnsi"/>
        </w:rPr>
        <w:t xml:space="preserve">. 1. Art. 26. </w:t>
      </w:r>
      <w:proofErr w:type="spellStart"/>
      <w:r w:rsidRPr="00520BCC">
        <w:rPr>
          <w:rFonts w:asciiTheme="majorHAnsi" w:hAnsiTheme="majorHAnsi" w:cstheme="majorHAnsi"/>
        </w:rPr>
        <w:t>http</w:t>
      </w:r>
      <w:proofErr w:type="spellEnd"/>
      <w:r w:rsidRPr="00520BCC">
        <w:rPr>
          <w:rFonts w:asciiTheme="majorHAnsi" w:hAnsiTheme="majorHAnsi" w:cstheme="majorHAnsi"/>
          <w:lang w:val="en-US"/>
        </w:rPr>
        <w:t>s://doi.org/10.1186/s13731-024-00385-5</w:t>
      </w:r>
    </w:p>
    <w:p w14:paraId="1F202E63" w14:textId="1268B14D" w:rsidR="00715F81" w:rsidRPr="0012042A" w:rsidRDefault="00715F81" w:rsidP="00CF19FD">
      <w:pPr>
        <w:spacing w:before="210"/>
        <w:rPr>
          <w:rFonts w:asciiTheme="majorHAnsi" w:hAnsiTheme="majorHAnsi" w:cstheme="majorHAnsi"/>
        </w:rPr>
      </w:pPr>
    </w:p>
    <w:p w14:paraId="30A04DFA" w14:textId="77777777" w:rsidR="00715F81" w:rsidRDefault="00000000" w:rsidP="00CF19FD">
      <w:pPr>
        <w:spacing w:before="157" w:after="157"/>
        <w:rPr>
          <w:rFonts w:asciiTheme="majorHAnsi" w:eastAsia="source serif 4" w:hAnsiTheme="majorHAnsi" w:cstheme="majorHAnsi"/>
          <w:b/>
          <w:color w:val="000000"/>
        </w:rPr>
      </w:pPr>
      <w:bookmarkStart w:id="10" w:name="приложение_а_программная_реализац_e4e389"/>
      <w:r w:rsidRPr="0012042A">
        <w:rPr>
          <w:rFonts w:asciiTheme="majorHAnsi" w:eastAsia="source serif 4" w:hAnsiTheme="majorHAnsi" w:cstheme="majorHAnsi"/>
          <w:b/>
          <w:color w:val="000000"/>
        </w:rPr>
        <w:t>Приложение А. Программная реализация динамической модели на Python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2114" w:rsidRPr="00CD2114" w14:paraId="60B4EC01" w14:textId="77777777" w:rsidTr="00CD2114">
        <w:tc>
          <w:tcPr>
            <w:tcW w:w="9628" w:type="dxa"/>
          </w:tcPr>
          <w:p w14:paraId="5FBFEB5B" w14:textId="32B63FB1" w:rsidR="00CD2114" w:rsidRPr="000A3AC1" w:rsidRDefault="00CD2114" w:rsidP="00CF19FD">
            <w:pPr>
              <w:spacing w:before="157" w:after="157"/>
              <w:rPr>
                <w:rFonts w:asciiTheme="majorHAnsi" w:eastAsia="source serif 4" w:hAnsiTheme="majorHAnsi" w:cstheme="majorHAnsi"/>
                <w:bCs/>
                <w:color w:val="000000"/>
              </w:rPr>
            </w:pPr>
            <w:r>
              <w:rPr>
                <w:rFonts w:asciiTheme="majorHAnsi" w:eastAsia="source serif 4" w:hAnsiTheme="majorHAnsi" w:cstheme="majorHAnsi"/>
                <w:b/>
                <w:color w:val="000000"/>
              </w:rPr>
              <w:t xml:space="preserve">Примечание: </w:t>
            </w:r>
            <w:r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проект реализован как блокнот </w:t>
            </w:r>
            <w:proofErr w:type="spellStart"/>
            <w:r>
              <w:rPr>
                <w:rFonts w:asciiTheme="majorHAnsi" w:eastAsia="source serif 4" w:hAnsiTheme="majorHAnsi" w:cstheme="majorHAnsi"/>
                <w:bCs/>
                <w:color w:val="000000"/>
                <w:lang w:val="en-US"/>
              </w:rPr>
              <w:t>marimo</w:t>
            </w:r>
            <w:proofErr w:type="spellEnd"/>
            <w:r w:rsidR="000A3AC1"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 </w:t>
            </w:r>
            <w:r w:rsidR="000A3AC1" w:rsidRPr="000A3AC1">
              <w:rPr>
                <w:rFonts w:asciiTheme="majorHAnsi" w:eastAsia="source serif 4" w:hAnsiTheme="majorHAnsi" w:cstheme="majorHAnsi"/>
                <w:bCs/>
                <w:color w:val="000000"/>
              </w:rPr>
              <w:t>(</w:t>
            </w:r>
            <w:hyperlink r:id="rId8" w:history="1">
              <w:r w:rsidR="000A3AC1" w:rsidRPr="005C1796">
                <w:rPr>
                  <w:rStyle w:val="a6"/>
                  <w:rFonts w:asciiTheme="majorHAnsi" w:eastAsia="source serif 4" w:hAnsiTheme="majorHAnsi" w:cstheme="majorHAnsi"/>
                  <w:bCs/>
                </w:rPr>
                <w:t>https://marimo.io/</w:t>
              </w:r>
            </w:hyperlink>
            <w:r w:rsidR="000A3AC1"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 </w:t>
            </w:r>
            <w:r w:rsidR="000A3AC1" w:rsidRPr="000A3AC1">
              <w:rPr>
                <w:rFonts w:asciiTheme="majorHAnsi" w:eastAsia="source serif 4" w:hAnsiTheme="majorHAnsi" w:cstheme="majorHAnsi"/>
                <w:bCs/>
                <w:color w:val="000000"/>
              </w:rPr>
              <w:t>)</w:t>
            </w:r>
            <w:r w:rsidRPr="00CD2114"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, </w:t>
            </w:r>
            <w:r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виртуальное окружение создано с использованием менеджера пакетов </w:t>
            </w:r>
            <w:proofErr w:type="spellStart"/>
            <w:r>
              <w:rPr>
                <w:rFonts w:asciiTheme="majorHAnsi" w:eastAsia="source serif 4" w:hAnsiTheme="majorHAnsi" w:cstheme="majorHAnsi"/>
                <w:bCs/>
                <w:color w:val="000000"/>
                <w:lang w:val="en-US"/>
              </w:rPr>
              <w:t>uv</w:t>
            </w:r>
            <w:proofErr w:type="spellEnd"/>
            <w:r w:rsidR="000A3AC1" w:rsidRPr="000A3AC1"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 (</w:t>
            </w:r>
            <w:hyperlink r:id="rId9" w:history="1">
              <w:r w:rsidR="000A3AC1" w:rsidRPr="005C1796">
                <w:rPr>
                  <w:rStyle w:val="a6"/>
                  <w:rFonts w:asciiTheme="majorHAnsi" w:eastAsia="source serif 4" w:hAnsiTheme="majorHAnsi" w:cstheme="majorHAnsi"/>
                  <w:bCs/>
                  <w:lang w:val="en-US"/>
                </w:rPr>
                <w:t>https</w:t>
              </w:r>
              <w:r w:rsidR="000A3AC1" w:rsidRPr="005C1796">
                <w:rPr>
                  <w:rStyle w:val="a6"/>
                  <w:rFonts w:asciiTheme="majorHAnsi" w:eastAsia="source serif 4" w:hAnsiTheme="majorHAnsi" w:cstheme="majorHAnsi"/>
                  <w:bCs/>
                </w:rPr>
                <w:t>://</w:t>
              </w:r>
              <w:proofErr w:type="spellStart"/>
              <w:r w:rsidR="000A3AC1" w:rsidRPr="005C1796">
                <w:rPr>
                  <w:rStyle w:val="a6"/>
                  <w:rFonts w:asciiTheme="majorHAnsi" w:eastAsia="source serif 4" w:hAnsiTheme="majorHAnsi" w:cstheme="majorHAnsi"/>
                  <w:bCs/>
                  <w:lang w:val="en-US"/>
                </w:rPr>
                <w:t>github</w:t>
              </w:r>
              <w:proofErr w:type="spellEnd"/>
              <w:r w:rsidR="000A3AC1" w:rsidRPr="005C1796">
                <w:rPr>
                  <w:rStyle w:val="a6"/>
                  <w:rFonts w:asciiTheme="majorHAnsi" w:eastAsia="source serif 4" w:hAnsiTheme="majorHAnsi" w:cstheme="majorHAnsi"/>
                  <w:bCs/>
                </w:rPr>
                <w:t>.</w:t>
              </w:r>
              <w:r w:rsidR="000A3AC1" w:rsidRPr="005C1796">
                <w:rPr>
                  <w:rStyle w:val="a6"/>
                  <w:rFonts w:asciiTheme="majorHAnsi" w:eastAsia="source serif 4" w:hAnsiTheme="majorHAnsi" w:cstheme="majorHAnsi"/>
                  <w:bCs/>
                  <w:lang w:val="en-US"/>
                </w:rPr>
                <w:t>com</w:t>
              </w:r>
              <w:r w:rsidR="000A3AC1" w:rsidRPr="005C1796">
                <w:rPr>
                  <w:rStyle w:val="a6"/>
                  <w:rFonts w:asciiTheme="majorHAnsi" w:eastAsia="source serif 4" w:hAnsiTheme="majorHAnsi" w:cstheme="majorHAnsi"/>
                  <w:bCs/>
                </w:rPr>
                <w:t>/</w:t>
              </w:r>
              <w:r w:rsidR="000A3AC1" w:rsidRPr="005C1796">
                <w:rPr>
                  <w:rStyle w:val="a6"/>
                  <w:rFonts w:asciiTheme="majorHAnsi" w:eastAsia="source serif 4" w:hAnsiTheme="majorHAnsi" w:cstheme="majorHAnsi"/>
                  <w:bCs/>
                  <w:lang w:val="en-US"/>
                </w:rPr>
                <w:t>astral</w:t>
              </w:r>
              <w:r w:rsidR="000A3AC1" w:rsidRPr="005C1796">
                <w:rPr>
                  <w:rStyle w:val="a6"/>
                  <w:rFonts w:asciiTheme="majorHAnsi" w:eastAsia="source serif 4" w:hAnsiTheme="majorHAnsi" w:cstheme="majorHAnsi"/>
                  <w:bCs/>
                </w:rPr>
                <w:t>-</w:t>
              </w:r>
              <w:proofErr w:type="spellStart"/>
              <w:r w:rsidR="000A3AC1" w:rsidRPr="005C1796">
                <w:rPr>
                  <w:rStyle w:val="a6"/>
                  <w:rFonts w:asciiTheme="majorHAnsi" w:eastAsia="source serif 4" w:hAnsiTheme="majorHAnsi" w:cstheme="majorHAnsi"/>
                  <w:bCs/>
                  <w:lang w:val="en-US"/>
                </w:rPr>
                <w:t>sh</w:t>
              </w:r>
              <w:proofErr w:type="spellEnd"/>
              <w:r w:rsidR="000A3AC1" w:rsidRPr="005C1796">
                <w:rPr>
                  <w:rStyle w:val="a6"/>
                  <w:rFonts w:asciiTheme="majorHAnsi" w:eastAsia="source serif 4" w:hAnsiTheme="majorHAnsi" w:cstheme="majorHAnsi"/>
                  <w:bCs/>
                </w:rPr>
                <w:t>/</w:t>
              </w:r>
              <w:proofErr w:type="spellStart"/>
              <w:r w:rsidR="000A3AC1" w:rsidRPr="005C1796">
                <w:rPr>
                  <w:rStyle w:val="a6"/>
                  <w:rFonts w:asciiTheme="majorHAnsi" w:eastAsia="source serif 4" w:hAnsiTheme="majorHAnsi" w:cstheme="majorHAnsi"/>
                  <w:bCs/>
                  <w:lang w:val="en-US"/>
                </w:rPr>
                <w:t>uv</w:t>
              </w:r>
              <w:proofErr w:type="spellEnd"/>
            </w:hyperlink>
            <w:r w:rsidR="000A3AC1" w:rsidRPr="000A3AC1"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 )</w:t>
            </w:r>
            <w:r>
              <w:rPr>
                <w:rFonts w:asciiTheme="majorHAnsi" w:eastAsia="source serif 4" w:hAnsiTheme="majorHAnsi" w:cstheme="majorHAnsi"/>
                <w:bCs/>
                <w:color w:val="000000"/>
              </w:rPr>
              <w:t>. Запуск проекта осуществляется через</w:t>
            </w:r>
            <w:r w:rsidR="000A3AC1" w:rsidRPr="000A3AC1"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 </w:t>
            </w:r>
            <w:r w:rsidR="000A3AC1">
              <w:rPr>
                <w:rFonts w:asciiTheme="majorHAnsi" w:eastAsia="source serif 4" w:hAnsiTheme="majorHAnsi" w:cstheme="majorHAnsi"/>
                <w:bCs/>
                <w:color w:val="000000"/>
              </w:rPr>
              <w:t>среду разработки</w:t>
            </w:r>
            <w:r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Theme="majorHAnsi" w:eastAsia="source serif 4" w:hAnsiTheme="majorHAnsi" w:cstheme="majorHAnsi"/>
                <w:bCs/>
                <w:color w:val="000000"/>
                <w:lang w:val="en-US"/>
              </w:rPr>
              <w:t>VSCode</w:t>
            </w:r>
            <w:proofErr w:type="spellEnd"/>
            <w:r w:rsidR="000A3AC1"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 (</w:t>
            </w:r>
            <w:hyperlink r:id="rId10" w:history="1">
              <w:r w:rsidR="000A3AC1" w:rsidRPr="005C1796">
                <w:rPr>
                  <w:rStyle w:val="a6"/>
                  <w:rFonts w:asciiTheme="majorHAnsi" w:eastAsia="source serif 4" w:hAnsiTheme="majorHAnsi" w:cstheme="majorHAnsi"/>
                  <w:bCs/>
                </w:rPr>
                <w:t>https://code.visualstudio.com/</w:t>
              </w:r>
            </w:hyperlink>
            <w:r w:rsidR="000A3AC1"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 )</w:t>
            </w:r>
            <w:r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 с установленным плагином </w:t>
            </w:r>
            <w:proofErr w:type="spellStart"/>
            <w:r>
              <w:rPr>
                <w:rFonts w:asciiTheme="majorHAnsi" w:eastAsia="source serif 4" w:hAnsiTheme="majorHAnsi" w:cstheme="majorHAnsi"/>
                <w:bCs/>
                <w:color w:val="000000"/>
                <w:lang w:val="en-US"/>
              </w:rPr>
              <w:t>marimo</w:t>
            </w:r>
            <w:proofErr w:type="spellEnd"/>
            <w:r>
              <w:rPr>
                <w:rFonts w:asciiTheme="majorHAnsi" w:eastAsia="source serif 4" w:hAnsiTheme="majorHAnsi" w:cstheme="majorHAnsi"/>
                <w:bCs/>
                <w:color w:val="000000"/>
              </w:rPr>
              <w:t>. Для полноценной демонстрации блокнота желательно переключение в режим отображения ячеек.</w:t>
            </w:r>
            <w:r w:rsidR="000A3AC1"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 Все</w:t>
            </w:r>
            <w:r w:rsidR="000A3AC1" w:rsidRPr="000A3AC1"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 </w:t>
            </w:r>
            <w:r w:rsidR="000A3AC1">
              <w:rPr>
                <w:rFonts w:asciiTheme="majorHAnsi" w:eastAsia="source serif 4" w:hAnsiTheme="majorHAnsi" w:cstheme="majorHAnsi"/>
                <w:bCs/>
                <w:color w:val="000000"/>
              </w:rPr>
              <w:t>использованные при разработке средства и модули являются свободно доступными</w:t>
            </w:r>
            <w:r w:rsidR="00776903"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 и могут быть загружены в РФ</w:t>
            </w:r>
            <w:r w:rsidR="000A3AC1"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. Оформление кода произведено бесплатной надстройкой для редактора </w:t>
            </w:r>
            <w:r w:rsidR="000A3AC1">
              <w:rPr>
                <w:rFonts w:asciiTheme="majorHAnsi" w:eastAsia="source serif 4" w:hAnsiTheme="majorHAnsi" w:cstheme="majorHAnsi"/>
                <w:bCs/>
                <w:color w:val="000000"/>
                <w:lang w:val="en-US"/>
              </w:rPr>
              <w:t>MS</w:t>
            </w:r>
            <w:r w:rsidR="000A3AC1" w:rsidRPr="000A3AC1"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 </w:t>
            </w:r>
            <w:r w:rsidR="000A3AC1">
              <w:rPr>
                <w:rFonts w:asciiTheme="majorHAnsi" w:eastAsia="source serif 4" w:hAnsiTheme="majorHAnsi" w:cstheme="majorHAnsi"/>
                <w:bCs/>
                <w:color w:val="000000"/>
                <w:lang w:val="en-US"/>
              </w:rPr>
              <w:t>Word</w:t>
            </w:r>
            <w:r w:rsidR="000A3AC1" w:rsidRPr="000A3AC1"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 </w:t>
            </w:r>
            <w:r w:rsidR="000A3AC1">
              <w:rPr>
                <w:rFonts w:asciiTheme="majorHAnsi" w:eastAsia="source serif 4" w:hAnsiTheme="majorHAnsi" w:cstheme="majorHAnsi"/>
                <w:bCs/>
                <w:color w:val="000000"/>
                <w:lang w:val="en-US"/>
              </w:rPr>
              <w:t>Easy</w:t>
            </w:r>
            <w:r w:rsidR="000A3AC1" w:rsidRPr="000A3AC1">
              <w:rPr>
                <w:rFonts w:asciiTheme="majorHAnsi" w:eastAsia="source serif 4" w:hAnsiTheme="majorHAnsi" w:cstheme="majorHAnsi"/>
                <w:bCs/>
                <w:color w:val="000000"/>
              </w:rPr>
              <w:t xml:space="preserve"> </w:t>
            </w:r>
            <w:r w:rsidR="000A3AC1">
              <w:rPr>
                <w:rFonts w:asciiTheme="majorHAnsi" w:eastAsia="source serif 4" w:hAnsiTheme="majorHAnsi" w:cstheme="majorHAnsi"/>
                <w:bCs/>
                <w:color w:val="000000"/>
                <w:lang w:val="en-US"/>
              </w:rPr>
              <w:t>Code</w:t>
            </w:r>
            <w:r w:rsidR="000A3AC1" w:rsidRPr="000A3AC1">
              <w:rPr>
                <w:rFonts w:asciiTheme="majorHAnsi" w:eastAsia="source serif 4" w:hAnsiTheme="majorHAnsi" w:cstheme="majorHAnsi"/>
                <w:bCs/>
                <w:color w:val="000000"/>
              </w:rPr>
              <w:t>.</w:t>
            </w:r>
          </w:p>
        </w:tc>
      </w:tr>
      <w:tr w:rsidR="00CD2114" w:rsidRPr="00CD2114" w14:paraId="688C441B" w14:textId="77777777" w:rsidTr="00CD2114">
        <w:tc>
          <w:tcPr>
            <w:tcW w:w="9628" w:type="dxa"/>
          </w:tcPr>
          <w:p w14:paraId="5060F52A" w14:textId="77777777" w:rsidR="00CD2114" w:rsidRDefault="00CD2114" w:rsidP="00CF19FD">
            <w:pPr>
              <w:spacing w:before="157" w:after="157"/>
              <w:rPr>
                <w:rFonts w:asciiTheme="majorHAnsi" w:eastAsia="source serif 4" w:hAnsiTheme="majorHAnsi" w:cstheme="majorHAnsi"/>
                <w:b/>
                <w:color w:val="000000"/>
                <w:lang w:val="en-US"/>
              </w:rPr>
            </w:pPr>
            <w:r>
              <w:rPr>
                <w:rFonts w:asciiTheme="majorHAnsi" w:eastAsia="source serif 4" w:hAnsiTheme="majorHAnsi" w:cstheme="majorHAnsi"/>
                <w:b/>
                <w:color w:val="000000"/>
              </w:rPr>
              <w:t xml:space="preserve">Содержание файла </w:t>
            </w:r>
            <w:proofErr w:type="spellStart"/>
            <w:proofErr w:type="gramStart"/>
            <w:r>
              <w:rPr>
                <w:rFonts w:asciiTheme="majorHAnsi" w:eastAsia="source serif 4" w:hAnsiTheme="majorHAnsi" w:cstheme="majorHAnsi"/>
                <w:b/>
                <w:color w:val="000000"/>
                <w:lang w:val="en-US"/>
              </w:rPr>
              <w:t>pyproject.toml</w:t>
            </w:r>
            <w:proofErr w:type="spellEnd"/>
            <w:proofErr w:type="gramEnd"/>
            <w:r>
              <w:rPr>
                <w:rFonts w:asciiTheme="majorHAnsi" w:eastAsia="source serif 4" w:hAnsiTheme="majorHAnsi" w:cstheme="majorHAnsi"/>
                <w:b/>
                <w:color w:val="000000"/>
                <w:lang w:val="en-US"/>
              </w:rPr>
              <w:t>:</w:t>
            </w:r>
          </w:p>
          <w:p w14:paraId="3FA76AA9" w14:textId="77777777" w:rsidR="00CD2114" w:rsidRPr="00CD2114" w:rsidRDefault="00CD2114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62152381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CD2114">
              <w:rPr>
                <w:rFonts w:asciiTheme="majorHAnsi" w:eastAsia="source serif 4" w:hAnsiTheme="majorHAnsi" w:cstheme="majorHAnsi"/>
                <w:bCs/>
                <w:color w:val="000000"/>
                <w:lang w:val="en-US"/>
              </w:rPr>
              <w:t>[</w:t>
            </w: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project</w:t>
            </w:r>
            <w:r w:rsidRPr="00CD2114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14B39F6D" w14:textId="77777777" w:rsidR="00CD2114" w:rsidRPr="00CD2114" w:rsidRDefault="00CD2114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62152381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name </w:t>
            </w:r>
            <w:r w:rsidRPr="00CD2114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CD2114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"nvartovsk2026"</w:t>
            </w:r>
          </w:p>
          <w:p w14:paraId="49F7DDC2" w14:textId="77777777" w:rsidR="00CD2114" w:rsidRPr="00CD2114" w:rsidRDefault="00CD2114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62152381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version </w:t>
            </w:r>
            <w:r w:rsidRPr="00CD2114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CD2114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"0.1.0"</w:t>
            </w:r>
          </w:p>
          <w:p w14:paraId="4503280E" w14:textId="77777777" w:rsidR="00CD2114" w:rsidRPr="00CD2114" w:rsidRDefault="00CD2114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62152381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description </w:t>
            </w:r>
            <w:r w:rsidRPr="00CD2114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CD2114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"Add your description here"</w:t>
            </w:r>
          </w:p>
          <w:p w14:paraId="25246CFE" w14:textId="77777777" w:rsidR="00CD2114" w:rsidRPr="00CD2114" w:rsidRDefault="00CD2114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62152381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readme </w:t>
            </w:r>
            <w:r w:rsidRPr="00CD2114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CD2114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"README.md"</w:t>
            </w:r>
          </w:p>
          <w:p w14:paraId="0175FFD4" w14:textId="77777777" w:rsidR="00CD2114" w:rsidRPr="00CD2114" w:rsidRDefault="00CD2114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62152381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requires</w:t>
            </w:r>
            <w:r w:rsidRPr="00CD2114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python </w:t>
            </w:r>
            <w:r w:rsidRPr="00CD2114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CD2114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"&gt;=3.14"</w:t>
            </w:r>
          </w:p>
          <w:p w14:paraId="26E41A4B" w14:textId="77777777" w:rsidR="00CD2114" w:rsidRPr="00CD2114" w:rsidRDefault="00CD2114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62152381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dependencies </w:t>
            </w:r>
            <w:r w:rsidRPr="00CD2114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CD2114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</w:p>
          <w:p w14:paraId="17D18485" w14:textId="77777777" w:rsidR="00CD2114" w:rsidRPr="00CD2114" w:rsidRDefault="00CD2114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62152381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    </w:t>
            </w:r>
            <w:r w:rsidRPr="00CD2114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r w:rsidRPr="00CD2114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marimo</w:t>
            </w:r>
            <w:proofErr w:type="spellEnd"/>
            <w:r w:rsidRPr="00CD2114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&gt;=0.24.0"</w:t>
            </w:r>
            <w:r w:rsidRPr="00CD2114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5BD5960E" w14:textId="77777777" w:rsidR="00CD2114" w:rsidRPr="00CD2114" w:rsidRDefault="00CD2114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62152381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    </w:t>
            </w:r>
            <w:r w:rsidRPr="00CD2114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"matplotlib&gt;=3.11.1"</w:t>
            </w:r>
            <w:r w:rsidRPr="00CD2114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2BEA6DF8" w14:textId="77777777" w:rsidR="00CD2114" w:rsidRPr="00CD2114" w:rsidRDefault="00CD2114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62152381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    </w:t>
            </w:r>
            <w:r w:rsidRPr="00CD2114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r w:rsidRPr="00CD2114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numpy</w:t>
            </w:r>
            <w:proofErr w:type="spellEnd"/>
            <w:r w:rsidRPr="00CD2114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&gt;=2.5.2"</w:t>
            </w:r>
            <w:r w:rsidRPr="00CD2114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5B897AD7" w14:textId="77777777" w:rsidR="00CD2114" w:rsidRPr="00CD2114" w:rsidRDefault="00CD2114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62152381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    </w:t>
            </w:r>
            <w:r w:rsidRPr="00CD2114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"pandas&gt;=3.0.5"</w:t>
            </w:r>
            <w:r w:rsidRPr="00CD2114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443A6957" w14:textId="77777777" w:rsidR="00CD2114" w:rsidRDefault="00CD2114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62152381"/>
              <w:rPr>
                <w:rFonts w:ascii="Consolas" w:hAnsi="Consolas" w:cs="Courier New"/>
                <w:sz w:val="20"/>
                <w:szCs w:val="20"/>
              </w:rPr>
            </w:pPr>
            <w:r w:rsidRPr="00CD2114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"</w:t>
            </w:r>
            <w:proofErr w:type="spellStart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scikit-</w:t>
            </w:r>
            <w:proofErr w:type="gramStart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learn</w:t>
            </w:r>
            <w:proofErr w:type="spellEnd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&gt;=</w:t>
            </w:r>
            <w:proofErr w:type="gramEnd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1.9.0"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,</w:t>
            </w:r>
          </w:p>
          <w:p w14:paraId="0FE80347" w14:textId="77777777" w:rsidR="00CD2114" w:rsidRDefault="00CD2114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62152381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    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scipy</w:t>
            </w:r>
            <w:proofErr w:type="spellEnd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&gt;=</w:t>
            </w:r>
            <w:proofErr w:type="gramEnd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1.18.1"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,</w:t>
            </w:r>
          </w:p>
          <w:p w14:paraId="52D27802" w14:textId="77777777" w:rsidR="00CD2114" w:rsidRDefault="00CD2114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62152381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]</w:t>
            </w:r>
          </w:p>
          <w:p w14:paraId="6F52CDEC" w14:textId="77777777" w:rsidR="00CD2114" w:rsidRDefault="00CD2114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62152381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 </w:t>
            </w:r>
          </w:p>
          <w:p w14:paraId="644C920F" w14:textId="56B2D7D6" w:rsidR="00CD2114" w:rsidRPr="00CD2114" w:rsidRDefault="00CD2114" w:rsidP="00CF19FD">
            <w:pPr>
              <w:spacing w:before="157" w:after="157"/>
              <w:rPr>
                <w:rFonts w:asciiTheme="majorHAnsi" w:eastAsia="source serif 4" w:hAnsiTheme="majorHAnsi" w:cstheme="majorHAnsi"/>
                <w:bCs/>
                <w:color w:val="000000"/>
                <w:lang w:val="en-US"/>
              </w:rPr>
            </w:pPr>
          </w:p>
        </w:tc>
      </w:tr>
      <w:tr w:rsidR="00CD2114" w:rsidRPr="00CD2114" w14:paraId="5A0A435D" w14:textId="77777777" w:rsidTr="00CD2114">
        <w:tc>
          <w:tcPr>
            <w:tcW w:w="9628" w:type="dxa"/>
          </w:tcPr>
          <w:p w14:paraId="3E247EF3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import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marimo</w:t>
            </w:r>
            <w:proofErr w:type="spellEnd"/>
          </w:p>
          <w:p w14:paraId="1926FB2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077D0C7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__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generated_with</w:t>
            </w:r>
            <w:proofErr w:type="spell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"0.24.0"</w:t>
            </w:r>
          </w:p>
          <w:p w14:paraId="6352EA4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app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marimo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660066"/>
                <w:sz w:val="20"/>
                <w:szCs w:val="20"/>
                <w:lang w:val="en-US"/>
              </w:rPr>
              <w:t>App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()</w:t>
            </w:r>
          </w:p>
          <w:p w14:paraId="7EF335A1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535D616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406E1591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6666"/>
                <w:sz w:val="20"/>
                <w:szCs w:val="20"/>
              </w:rPr>
              <w:t>@</w:t>
            </w:r>
            <w:proofErr w:type="gramStart"/>
            <w:r>
              <w:rPr>
                <w:rFonts w:ascii="Consolas" w:hAnsi="Consolas" w:cs="Courier New"/>
                <w:color w:val="006666"/>
                <w:sz w:val="20"/>
                <w:szCs w:val="20"/>
              </w:rPr>
              <w:t>app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.</w:t>
            </w: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cell</w:t>
            </w:r>
            <w:proofErr w:type="gramEnd"/>
          </w:p>
          <w:p w14:paraId="5A3E2627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proofErr w:type="spellStart"/>
            <w:r>
              <w:rPr>
                <w:rFonts w:ascii="Consolas" w:hAnsi="Consolas" w:cs="Courier New"/>
                <w:color w:val="000088"/>
                <w:sz w:val="20"/>
                <w:szCs w:val="20"/>
              </w:rPr>
              <w:t>def</w:t>
            </w:r>
            <w:proofErr w:type="spellEnd"/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_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):</w:t>
            </w:r>
          </w:p>
          <w:p w14:paraId="1D4A9524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20"/>
                <w:szCs w:val="20"/>
              </w:rPr>
              <w:t>#----------------------------------------------------------------</w:t>
            </w:r>
          </w:p>
          <w:p w14:paraId="514839EE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20"/>
                <w:szCs w:val="20"/>
              </w:rPr>
              <w:t># импорт необходимых модулей</w:t>
            </w:r>
          </w:p>
          <w:p w14:paraId="5AE32D9C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 </w:t>
            </w:r>
          </w:p>
          <w:p w14:paraId="5859A4D1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import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marimo</w:t>
            </w:r>
            <w:proofErr w:type="spell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as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mo</w:t>
            </w:r>
            <w:proofErr w:type="spellEnd"/>
          </w:p>
          <w:p w14:paraId="0214DC6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import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matplotlib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pyplot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as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plt</w:t>
            </w:r>
            <w:proofErr w:type="spellEnd"/>
          </w:p>
          <w:p w14:paraId="7557A278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import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numpy</w:t>
            </w:r>
            <w:proofErr w:type="spell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as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np</w:t>
            </w:r>
          </w:p>
          <w:p w14:paraId="3E00D40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from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scipy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integrate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import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solve_ivp</w:t>
            </w:r>
            <w:proofErr w:type="spellEnd"/>
          </w:p>
          <w:p w14:paraId="40D1DEE3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4E6090F7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return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mo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np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plt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solve_ivp</w:t>
            </w:r>
            <w:proofErr w:type="spellEnd"/>
          </w:p>
          <w:p w14:paraId="69A64026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29F7EBA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2717B365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@</w:t>
            </w:r>
            <w:proofErr w:type="gramStart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app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function</w:t>
            </w:r>
            <w:proofErr w:type="gramEnd"/>
          </w:p>
          <w:p w14:paraId="5349E1B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def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linear_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path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start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end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start_year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2024.0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end_year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2030.0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):</w:t>
            </w:r>
          </w:p>
          <w:p w14:paraId="5465E467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"""Линейная сценарная траектория с фиксацией значений вне горизонта."""</w:t>
            </w:r>
          </w:p>
          <w:p w14:paraId="63F82DF7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share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min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1.0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max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t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start_year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/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end_year</w:t>
            </w:r>
            <w:proofErr w:type="spell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start_year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)))</w:t>
            </w:r>
          </w:p>
          <w:p w14:paraId="430841C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return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start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+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share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end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start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2ED17D5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35C13B1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51055ADE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@</w:t>
            </w:r>
            <w:proofErr w:type="gramStart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app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function</w:t>
            </w:r>
            <w:proofErr w:type="gramEnd"/>
          </w:p>
          <w:p w14:paraId="557BCB3E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def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regional_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model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state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scenario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):</w:t>
            </w:r>
          </w:p>
          <w:p w14:paraId="0930E623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"""Система динамики технологического, социально-экономического,</w:t>
            </w:r>
          </w:p>
          <w:p w14:paraId="33F993AC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инвестиционно-инновационного и экологического потенциалов региона."""</w:t>
            </w:r>
          </w:p>
          <w:p w14:paraId="08A307DA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I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E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state</w:t>
            </w:r>
          </w:p>
          <w:p w14:paraId="7170EBE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14177948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alpha_1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"alpha_1"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639469A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alpha_2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"alpha_2"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4FA5920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beta_1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"beta_1"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1DE08531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beta_2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"beta_2"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4962706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60801EA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gamma_1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"gamma_1"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2E25B036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gamma_2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"gamma_2"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76E5C787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delta_1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"delta_1"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682483EC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delta_2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"delta_2"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5BE5D491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1B18A4B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eta_1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"eta_1"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1B745C8C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eta_2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"eta_2"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5A0F2CB1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mu_1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"mu_1"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1332673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mu_2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"mu_2"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0FAF0F9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49F6B0F5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rho_1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"rho_1"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17EF8651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rho_2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"rho_2"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5B0086B3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omega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"omega"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3E3C607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2D4E5E9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H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linear_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path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scenario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human_capital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])</w:t>
            </w:r>
          </w:p>
          <w:p w14:paraId="3290D0F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M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linear_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path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scenario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macro_impulse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])</w:t>
            </w:r>
          </w:p>
          <w:p w14:paraId="78ADF12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P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linear_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path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scenario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industrial_policy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])</w:t>
            </w:r>
          </w:p>
          <w:p w14:paraId="4408E89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R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linear_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path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scenario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"constraints"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])</w:t>
            </w:r>
          </w:p>
          <w:p w14:paraId="24D0B6AA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Q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linear_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path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scenario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extraction_intensity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])</w:t>
            </w:r>
          </w:p>
          <w:p w14:paraId="75FC533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Z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linear_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path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scenario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environmental_measures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])</w:t>
            </w:r>
          </w:p>
          <w:p w14:paraId="6C12A0A1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21A92D5C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20"/>
                <w:szCs w:val="20"/>
              </w:rPr>
              <w:t># Насыщение (1-X) и пропорциональный отток удерживают состояния</w:t>
            </w:r>
          </w:p>
          <w:p w14:paraId="723DF969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20"/>
                <w:szCs w:val="20"/>
              </w:rPr>
              <w:t># в интервале [0, 1] при неотрицательных коэффициентах и входах.</w:t>
            </w:r>
          </w:p>
          <w:p w14:paraId="4E962CE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dT_dt</w:t>
            </w:r>
            <w:proofErr w:type="spell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alpha_1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I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+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alpha_2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H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beta_1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+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beta_2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T</w:t>
            </w:r>
          </w:p>
          <w:p w14:paraId="72465CA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dS_dt</w:t>
            </w:r>
            <w:proofErr w:type="spell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gamma_1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T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+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gamma_2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M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delta_1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+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delta_2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S</w:t>
            </w:r>
          </w:p>
          <w:p w14:paraId="105C9935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dI_dt</w:t>
            </w:r>
            <w:proofErr w:type="spell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eta_1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P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+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eta_2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I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mu_1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+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mu_2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R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I</w:t>
            </w:r>
          </w:p>
          <w:p w14:paraId="4B6E3E86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dE_dt</w:t>
            </w:r>
            <w:proofErr w:type="spell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rho_1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Q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rho_2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Z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+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omega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E</w:t>
            </w:r>
          </w:p>
          <w:p w14:paraId="5F61845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3B1E68B3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return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dT_dt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dS_dt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dI_dt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dE_dt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18A3813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53A184F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76777523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6666"/>
                <w:sz w:val="20"/>
                <w:szCs w:val="20"/>
              </w:rPr>
              <w:t>@</w:t>
            </w:r>
            <w:proofErr w:type="gramStart"/>
            <w:r>
              <w:rPr>
                <w:rFonts w:ascii="Consolas" w:hAnsi="Consolas" w:cs="Courier New"/>
                <w:color w:val="006666"/>
                <w:sz w:val="20"/>
                <w:szCs w:val="20"/>
              </w:rPr>
              <w:t>app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.</w:t>
            </w: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cell</w:t>
            </w:r>
            <w:proofErr w:type="gramEnd"/>
          </w:p>
          <w:p w14:paraId="5FD5A564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proofErr w:type="spellStart"/>
            <w:r>
              <w:rPr>
                <w:rFonts w:ascii="Consolas" w:hAnsi="Consolas" w:cs="Courier New"/>
                <w:color w:val="000088"/>
                <w:sz w:val="20"/>
                <w:szCs w:val="20"/>
              </w:rPr>
              <w:t>def</w:t>
            </w:r>
            <w:proofErr w:type="spellEnd"/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_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np</w:t>
            </w:r>
            <w:proofErr w:type="spellEnd"/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):</w:t>
            </w:r>
          </w:p>
          <w:p w14:paraId="2236D9E7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20"/>
                <w:szCs w:val="20"/>
              </w:rPr>
              <w:t># Периоды полураспада воспроизводят исходные коэффициенты затухания,</w:t>
            </w:r>
          </w:p>
          <w:p w14:paraId="2D522DF7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20"/>
                <w:szCs w:val="20"/>
              </w:rPr>
              <w:t># но делают их интерпретацию явной. Это пока модельные допущения,</w:t>
            </w:r>
          </w:p>
          <w:p w14:paraId="44BA154D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20"/>
                <w:szCs w:val="20"/>
              </w:rPr>
              <w:t># а не параметры, оцененные по данным Югры.</w:t>
            </w:r>
          </w:p>
          <w:p w14:paraId="31D00A2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half_lives</w:t>
            </w:r>
            <w:proofErr w:type="spell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{</w:t>
            </w:r>
          </w:p>
          <w:p w14:paraId="1521880E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"technology"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np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log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/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0.08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426D426C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"social"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np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log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/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0.05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749A120E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"investment"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np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log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/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0.10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55B3A7B5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"environment"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np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log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/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0.10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6835B81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}</w:t>
            </w:r>
          </w:p>
          <w:p w14:paraId="6FE38B43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{</w:t>
            </w:r>
          </w:p>
          <w:p w14:paraId="07628BC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alpha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_1"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6A99A75C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alpha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_2"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0.20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23B6729A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"beta_1"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np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log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/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half_lives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"technology"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],</w:t>
            </w:r>
          </w:p>
          <w:p w14:paraId="2957534A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beta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_2"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0.05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1623137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gamma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_1"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0.25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5AAE0D4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gamma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_2"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0.20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623F2E5C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"delta_1"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np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log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/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half_lives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"social"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],</w:t>
            </w:r>
          </w:p>
          <w:p w14:paraId="2CE25EA8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delta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_2"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0.08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035627B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eta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_1"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1B3DE19C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eta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_2"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0.15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3004E08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"mu_1"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np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log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/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half_lives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"investment"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],</w:t>
            </w:r>
          </w:p>
          <w:p w14:paraId="4625B5F7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mu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_2"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0.12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2FC29D4C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rho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_1"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0.25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58193AE9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rho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_2"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5AF5CF5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"omega"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np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log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/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half_lives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"environment"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],</w:t>
            </w:r>
          </w:p>
          <w:p w14:paraId="2321110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}</w:t>
            </w:r>
          </w:p>
          <w:p w14:paraId="4696349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return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,)</w:t>
            </w:r>
          </w:p>
          <w:p w14:paraId="0B6D88C3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042461E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02CBC1B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@</w:t>
            </w:r>
            <w:proofErr w:type="gramStart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app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cell</w:t>
            </w:r>
            <w:proofErr w:type="gramEnd"/>
          </w:p>
          <w:p w14:paraId="5DD26BAE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def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):</w:t>
            </w:r>
          </w:p>
          <w:p w14:paraId="6C79DDE2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20"/>
                <w:szCs w:val="20"/>
              </w:rPr>
              <w:t># Каждая пара означает (уровень в 2024 году, уровень в 2030 году).</w:t>
            </w:r>
          </w:p>
          <w:p w14:paraId="1A42189F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20"/>
                <w:szCs w:val="20"/>
              </w:rPr>
              <w:t># Будущие значения являются сценарными допущениями, а не официальным</w:t>
            </w:r>
          </w:p>
          <w:p w14:paraId="74B7466D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20"/>
                <w:szCs w:val="20"/>
              </w:rPr>
              <w:t># точечным прогнозом. В сценариях меняется ограниченный набор мер,</w:t>
            </w:r>
          </w:p>
          <w:p w14:paraId="3615CC6B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20"/>
                <w:szCs w:val="20"/>
              </w:rPr>
              <w:t># чтобы эффект политики не был заранее предопределен всеми входами сразу.</w:t>
            </w:r>
          </w:p>
          <w:p w14:paraId="7D4FF26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scenarios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{</w:t>
            </w:r>
          </w:p>
          <w:p w14:paraId="7F13F2F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Базовый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{</w:t>
            </w:r>
          </w:p>
          <w:p w14:paraId="3B5E11D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human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_capital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22DFC3B8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macro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_impulse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7D64366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industrial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_policy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0.34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0888992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"constraints"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0.45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0.40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7B67ADB3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extraction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_intensity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1.00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0.90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537FB20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environmental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_measures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0.42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64DC7B25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},</w:t>
            </w:r>
          </w:p>
          <w:p w14:paraId="796D2FC7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Технологическая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модернизация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{</w:t>
            </w:r>
          </w:p>
          <w:p w14:paraId="6CCED05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human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_capital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551C6F5A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macro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_impulse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3EE8BB5E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industrial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_policy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0168DFAA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"constraints"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0.45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0.40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2F59406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extraction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_intensity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1.00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0.90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0E09238A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environmental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_measures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0.42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0FA51BD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},</w:t>
            </w:r>
          </w:p>
          <w:p w14:paraId="4C2AF4B8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Экологический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{</w:t>
            </w:r>
          </w:p>
          <w:p w14:paraId="26FB099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human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_capital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07AC378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macro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_impulse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74DA328A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industrial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_policy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0.34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71D1E0C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"constraints"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0.45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0.40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1BA9FE4E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extraction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_intensity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1.00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0.90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638DA41E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environmental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_measures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0.65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4BDDEC1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},</w:t>
            </w:r>
          </w:p>
          <w:p w14:paraId="1BB6018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Комбинированный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{</w:t>
            </w:r>
          </w:p>
          <w:p w14:paraId="30643D41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human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_capital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108EB178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macro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_impulse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4D3B0DA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industrial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_policy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6D8891D1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"constraints"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0.45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0.40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2B4EF55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extraction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_intensity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1.00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0.90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0F25D79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environmental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_measures</w:t>
            </w:r>
            <w:proofErr w:type="spell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0.65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39CD0B1C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},</w:t>
            </w:r>
          </w:p>
          <w:p w14:paraId="0A2FF4B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}</w:t>
            </w:r>
          </w:p>
          <w:p w14:paraId="6CCAAA4C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return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scenarios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,)</w:t>
            </w:r>
          </w:p>
          <w:p w14:paraId="35F425D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725B6E4E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38A3AD0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@</w:t>
            </w:r>
            <w:proofErr w:type="gramStart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app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cell</w:t>
            </w:r>
            <w:proofErr w:type="gramEnd"/>
          </w:p>
          <w:p w14:paraId="7A32E2B3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def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mo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):</w:t>
            </w:r>
          </w:p>
          <w:p w14:paraId="0D2FED75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data_note</w:t>
            </w:r>
            <w:proofErr w:type="spell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mo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md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r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"""</w:t>
            </w:r>
          </w:p>
          <w:p w14:paraId="02B561DF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### Данные и прогноз до 2030 года</w:t>
            </w:r>
          </w:p>
          <w:p w14:paraId="03785C9E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 </w:t>
            </w:r>
          </w:p>
          <w:p w14:paraId="3B85BA25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2024 год принят как базовый, а значения входов в 2030 году являются</w:t>
            </w:r>
          </w:p>
          <w:p w14:paraId="1442F660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прозрачными сценарными предположениями (Примечание: не являются официальным</w:t>
            </w:r>
          </w:p>
          <w:p w14:paraId="67F27C5E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прогнозом. Траектория добычи снижается от 1,00 до 0,90: официальные документы</w:t>
            </w:r>
          </w:p>
          <w:p w14:paraId="5C9A0487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Югры фиксировали снижение добычи нефти с 223,1 млн т в 2022 году до 216,0</w:t>
            </w:r>
          </w:p>
          <w:p w14:paraId="1BAC9BD7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млн т в 2023 году и оценку около 208 млн т на следующий период. Индекс</w:t>
            </w:r>
          </w:p>
          <w:p w14:paraId="47E3570E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промышленной политики начинается с умеренного уровня 0,30: </w:t>
            </w:r>
            <w:proofErr w:type="spellStart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Тюменьстат</w:t>
            </w:r>
            <w:proofErr w:type="spellEnd"/>
          </w:p>
          <w:p w14:paraId="778F86A7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сообщает, что затраты на инновации снизились со 133,0 млрд руб. в 2020 году</w:t>
            </w:r>
          </w:p>
          <w:p w14:paraId="582DBB50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до 35,7 млрд руб. в 2024 году, а технологические инновации осуществляли</w:t>
            </w:r>
          </w:p>
          <w:p w14:paraId="6D77D5A2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9,5% обследованных организаций. Поэтому рост до 0,55 в технологическом</w:t>
            </w:r>
          </w:p>
          <w:p w14:paraId="294BA56F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сценарии — целевое управленческое усилие, а не экстраполяция наблюдаемого</w:t>
            </w:r>
          </w:p>
          <w:p w14:paraId="56165748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тренда.</w:t>
            </w:r>
          </w:p>
          <w:p w14:paraId="321F5BB2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 </w:t>
            </w:r>
          </w:p>
          <w:p w14:paraId="780D7CC6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Источники: [Инвестиционная декларация </w:t>
            </w:r>
            <w:proofErr w:type="gramStart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Югры](</w:t>
            </w:r>
            <w:proofErr w:type="gramEnd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https://investugra.ru/upload/004/%D0%A0%D0%B0%D1%81%D0%BF%D0%BE%D1%80%D1%8F%D0%B6%D0%B5%D0%BD%D0%B8%D0%B5%2044-%D1%80%D0%B3.pdf),</w:t>
            </w:r>
          </w:p>
          <w:p w14:paraId="3878B237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[</w:t>
            </w:r>
            <w:proofErr w:type="spellStart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Тюменьстат</w:t>
            </w:r>
            <w:proofErr w:type="spellEnd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— наука и </w:t>
            </w:r>
            <w:proofErr w:type="gramStart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инновации](</w:t>
            </w:r>
            <w:proofErr w:type="gramEnd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https://72.rosstat.gov.ru/ofs_nauka_ug),</w:t>
            </w:r>
          </w:p>
          <w:p w14:paraId="0959AC3E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[инфографика </w:t>
            </w:r>
            <w:proofErr w:type="spellStart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Тюменьстата</w:t>
            </w:r>
            <w:proofErr w:type="spellEnd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за 2024 </w:t>
            </w:r>
            <w:proofErr w:type="gramStart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год](</w:t>
            </w:r>
            <w:proofErr w:type="gramEnd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https://72.rosstat.gov.ru/storage/mediabank/%D0%94%D0%B5%D0%BD%D1%8C%20%D0%BD%D0%B0%D1%83%D0%BA%D0%B8_%D0%A5%D0%9C%D0%90%D0%9E_050226.pdf).</w:t>
            </w:r>
          </w:p>
          <w:p w14:paraId="50318C35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 xml:space="preserve">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"""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17DCA44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data_note</w:t>
            </w:r>
            <w:proofErr w:type="spellEnd"/>
          </w:p>
          <w:p w14:paraId="0695DA4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return</w:t>
            </w:r>
          </w:p>
          <w:p w14:paraId="3DE4BED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0B7B575E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15D36946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@</w:t>
            </w:r>
            <w:proofErr w:type="gramStart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app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cell</w:t>
            </w:r>
            <w:proofErr w:type="gramEnd"/>
          </w:p>
          <w:p w14:paraId="6A7A57C7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def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np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):</w:t>
            </w:r>
          </w:p>
          <w:p w14:paraId="728653B8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26469F4C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initial_state</w:t>
            </w:r>
            <w:proofErr w:type="spell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0.45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0.55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0.40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0.60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</w:p>
          <w:p w14:paraId="7E59FE59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time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np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linspace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2024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2030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73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5D7F911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weights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{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"T"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"S"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"I"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0.20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"E"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0.20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}</w:t>
            </w:r>
          </w:p>
          <w:p w14:paraId="01ED396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04BF0FEA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variables</w:t>
            </w:r>
            <w:proofErr w:type="spellEnd"/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=</w:t>
            </w: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[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"Технологический потенциал"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,</w:t>
            </w: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"Социально-экономический потенциал"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,</w:t>
            </w:r>
          </w:p>
          <w:p w14:paraId="30D2370A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             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"Инвестиционно-инновационная активность"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,</w:t>
            </w: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"Экологическая нагрузка"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]</w:t>
            </w:r>
          </w:p>
          <w:p w14:paraId="0B96397E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return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initial_state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time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variables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weights</w:t>
            </w:r>
          </w:p>
          <w:p w14:paraId="1D284A37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2DB3DAF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67E4E42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@</w:t>
            </w:r>
            <w:proofErr w:type="gramStart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app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cell</w:t>
            </w:r>
            <w:proofErr w:type="gramEnd"/>
          </w:p>
          <w:p w14:paraId="531286B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def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</w:p>
          <w:p w14:paraId="08C8413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initial_state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057B20D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5FA8B379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plt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65FA0617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scenarios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43C89817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solve_ivp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017F8E3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time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1580728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variables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7BB5AF7A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weights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0419E741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):</w:t>
            </w:r>
          </w:p>
          <w:p w14:paraId="70C95126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fig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axes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plt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subplots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figsize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8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sharex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True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763B02E8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axes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axes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ravel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()</w:t>
            </w:r>
          </w:p>
          <w:p w14:paraId="50EB71E5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results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{}</w:t>
            </w:r>
          </w:p>
          <w:p w14:paraId="737D428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276DCA79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for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_name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_scenario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in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scenarios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items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():</w:t>
            </w:r>
          </w:p>
          <w:p w14:paraId="39FD5C0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solution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solve_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ivp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</w:p>
          <w:p w14:paraId="47BF2FE3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regional_model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0C9CE0AC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t_span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=(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time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proofErr w:type="gramEnd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time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[-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]),</w:t>
            </w:r>
          </w:p>
          <w:p w14:paraId="7963EBB7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y0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initial_state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0956C56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t_eval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time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60DF552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args</w:t>
            </w:r>
            <w:proofErr w:type="spellEnd"/>
            <w:proofErr w:type="gramStart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=(</w:t>
            </w:r>
            <w:proofErr w:type="gramEnd"/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params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_scenario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72D3CD5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method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"RK45"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427906E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3809A6DA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6552CD1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if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not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solution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success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</w:p>
          <w:p w14:paraId="3493BC29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raise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660066"/>
                <w:sz w:val="20"/>
                <w:szCs w:val="20"/>
                <w:lang w:val="en-US"/>
              </w:rPr>
              <w:t>RuntimeError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solution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message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22A6369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5D88A2C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I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E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solution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y</w:t>
            </w:r>
            <w:proofErr w:type="spellEnd"/>
            <w:proofErr w:type="gramEnd"/>
          </w:p>
          <w:p w14:paraId="5DD8C1E5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U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</w:p>
          <w:p w14:paraId="5F934ABA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weights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"T"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T</w:t>
            </w:r>
          </w:p>
          <w:p w14:paraId="30A6A7EC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+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weights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"S"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S</w:t>
            </w:r>
          </w:p>
          <w:p w14:paraId="0484E739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+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weights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"I"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I</w:t>
            </w:r>
          </w:p>
          <w:p w14:paraId="79A72B0E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weights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"E"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*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E</w:t>
            </w:r>
          </w:p>
          <w:p w14:paraId="1D2B9E8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2D6CED1E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results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_name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{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"T"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"S"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"I"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I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"E"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"U"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U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}</w:t>
            </w:r>
          </w:p>
          <w:p w14:paraId="46D17675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6CBA492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for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_ax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_series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in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zip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axes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I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)):</w:t>
            </w:r>
          </w:p>
          <w:p w14:paraId="41967261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_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ax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plot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time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_series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label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_name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linewidth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43AED911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25CA353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for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_ax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_title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in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zip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axes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variables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):</w:t>
            </w:r>
          </w:p>
          <w:p w14:paraId="59698415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_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ax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set_title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_title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3FFCFD6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_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ax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set_xlabel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Год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67936310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_</w:t>
            </w:r>
            <w:proofErr w:type="spellStart"/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ax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.</w:t>
            </w: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set_</w:t>
            </w:r>
            <w:proofErr w:type="gramStart"/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ylabel</w:t>
            </w:r>
            <w:proofErr w:type="spellEnd"/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"Нормированный индекс"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)</w:t>
            </w:r>
          </w:p>
          <w:p w14:paraId="1C4C518E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    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ax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grid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True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alpha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36E167EA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_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ax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legend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fontsize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8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005C3FB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6E063DA7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fig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tight</w:t>
            </w:r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_layout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()</w:t>
            </w:r>
          </w:p>
          <w:p w14:paraId="00782383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fig</w:t>
            </w:r>
          </w:p>
          <w:p w14:paraId="1BF71369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return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results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,)</w:t>
            </w:r>
          </w:p>
          <w:p w14:paraId="70B06D2C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3B59280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6660B01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@</w:t>
            </w:r>
            <w:proofErr w:type="gramStart"/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app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cell</w:t>
            </w:r>
            <w:proofErr w:type="gramEnd"/>
          </w:p>
          <w:p w14:paraId="264F3FC3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def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plt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results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time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):</w:t>
            </w:r>
          </w:p>
          <w:p w14:paraId="494DEF89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summary_fig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summary_ax</w:t>
            </w:r>
            <w:proofErr w:type="spell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plt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subplots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figsize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=(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8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5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))</w:t>
            </w:r>
          </w:p>
          <w:p w14:paraId="4DEB307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for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_name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_result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in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results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items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():</w:t>
            </w:r>
          </w:p>
          <w:p w14:paraId="52AFFD75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summary_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ax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plot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time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_result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"U"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label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_name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linewidth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2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449B475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140DE77F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summary_ax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.</w:t>
            </w: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set_</w:t>
            </w:r>
            <w:proofErr w:type="gramStart"/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title</w:t>
            </w:r>
            <w:proofErr w:type="spellEnd"/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"Интегральный индекс сбалансированного устойчивого развития"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)</w:t>
            </w:r>
          </w:p>
          <w:p w14:paraId="7476C0C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summary_ax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set_xlabel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Год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0ACDD993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summary_ax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set_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ylabel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>
              <w:rPr>
                <w:rFonts w:ascii="Consolas" w:hAnsi="Consolas" w:cs="Courier New"/>
                <w:color w:val="008800"/>
                <w:sz w:val="20"/>
                <w:szCs w:val="20"/>
              </w:rPr>
              <w:t>Индекс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 xml:space="preserve"> U(t)"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1620A31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summary_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ax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grid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True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alpha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0.3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7D1C5B4D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summary_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ax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legend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()</w:t>
            </w:r>
          </w:p>
          <w:p w14:paraId="43E7858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summary_</w:t>
            </w:r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fig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tight</w:t>
            </w:r>
            <w:proofErr w:type="gramEnd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_layout</w:t>
            </w:r>
            <w:proofErr w:type="spell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()</w:t>
            </w:r>
          </w:p>
          <w:p w14:paraId="23FB06F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70478AB8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for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_name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_result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in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results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.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items</w:t>
            </w:r>
            <w:proofErr w:type="spellEnd"/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():</w:t>
            </w:r>
          </w:p>
          <w:p w14:paraId="03A1B640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print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proofErr w:type="gramEnd"/>
          </w:p>
          <w:p w14:paraId="6DD95D09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_name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</w:p>
          <w:p w14:paraId="46D30D6B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"T ="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round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_result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"T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][</w:t>
            </w:r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3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29B6921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"S ="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round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_result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"S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][</w:t>
            </w:r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3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5C107757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"I ="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round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_result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"I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][</w:t>
            </w:r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3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7EBF3AC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"E ="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round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_result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"E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][</w:t>
            </w:r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3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093E5C34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"U ="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round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(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_result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[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"U</w:t>
            </w:r>
            <w:proofErr w:type="gramStart"/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][</w:t>
            </w:r>
            <w:proofErr w:type="gramEnd"/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-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1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],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6666"/>
                <w:sz w:val="20"/>
                <w:szCs w:val="20"/>
                <w:lang w:val="en-US"/>
              </w:rPr>
              <w:t>3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),</w:t>
            </w:r>
          </w:p>
          <w:p w14:paraId="3863F90E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)</w:t>
            </w:r>
          </w:p>
          <w:p w14:paraId="6E565078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005A0941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summary_fig</w:t>
            </w:r>
            <w:proofErr w:type="spellEnd"/>
          </w:p>
          <w:p w14:paraId="1921A74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return</w:t>
            </w:r>
          </w:p>
          <w:p w14:paraId="3B1A3BA3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786EA7F2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> </w:t>
            </w:r>
          </w:p>
          <w:p w14:paraId="482DE91F" w14:textId="77777777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t>if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__name__ 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==</w:t>
            </w: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A3AC1">
              <w:rPr>
                <w:rFonts w:ascii="Consolas" w:hAnsi="Consolas" w:cs="Courier New"/>
                <w:color w:val="008800"/>
                <w:sz w:val="20"/>
                <w:szCs w:val="20"/>
                <w:lang w:val="en-US"/>
              </w:rPr>
              <w:t>"__main__"</w:t>
            </w:r>
            <w:r w:rsidRPr="000A3AC1">
              <w:rPr>
                <w:rFonts w:ascii="Consolas" w:hAnsi="Consolas" w:cs="Courier New"/>
                <w:color w:val="666600"/>
                <w:sz w:val="20"/>
                <w:szCs w:val="20"/>
                <w:lang w:val="en-US"/>
              </w:rPr>
              <w:t>:</w:t>
            </w:r>
          </w:p>
          <w:p w14:paraId="24552DFE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 w:rsidRPr="000A3AC1">
              <w:rPr>
                <w:rFonts w:ascii="Consolas" w:hAnsi="Consolas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app</w:t>
            </w:r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.</w:t>
            </w: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run</w:t>
            </w:r>
            <w:proofErr w:type="spellEnd"/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Courier New"/>
                <w:color w:val="666600"/>
                <w:sz w:val="20"/>
                <w:szCs w:val="20"/>
              </w:rPr>
              <w:t>)</w:t>
            </w:r>
          </w:p>
          <w:p w14:paraId="72D23A0B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00"/>
                <w:sz w:val="20"/>
                <w:szCs w:val="20"/>
              </w:rPr>
              <w:t> </w:t>
            </w:r>
          </w:p>
          <w:p w14:paraId="685CBD91" w14:textId="77777777" w:rsidR="00CD2114" w:rsidRDefault="00CD2114" w:rsidP="000A3AC1">
            <w:pPr>
              <w:spacing w:before="157" w:after="157"/>
              <w:rPr>
                <w:rFonts w:asciiTheme="majorHAnsi" w:eastAsia="source serif 4" w:hAnsiTheme="majorHAnsi" w:cstheme="majorHAnsi"/>
                <w:b/>
                <w:color w:val="000000"/>
                <w:lang w:val="en-US"/>
              </w:rPr>
            </w:pPr>
          </w:p>
          <w:p w14:paraId="12B8E3DD" w14:textId="30DD8AD9" w:rsidR="000A3AC1" w:rsidRPr="000A3AC1" w:rsidRDefault="000A3AC1" w:rsidP="000A3AC1">
            <w:pPr>
              <w:spacing w:before="157" w:after="157"/>
              <w:rPr>
                <w:rFonts w:asciiTheme="majorHAnsi" w:eastAsia="source serif 4" w:hAnsiTheme="majorHAnsi" w:cstheme="majorHAnsi"/>
                <w:b/>
                <w:color w:val="000000"/>
                <w:lang w:val="en-US"/>
              </w:rPr>
            </w:pPr>
          </w:p>
        </w:tc>
      </w:tr>
      <w:tr w:rsidR="000A3AC1" w:rsidRPr="00CD2114" w14:paraId="6D53E383" w14:textId="77777777" w:rsidTr="00CD2114">
        <w:tc>
          <w:tcPr>
            <w:tcW w:w="9628" w:type="dxa"/>
          </w:tcPr>
          <w:p w14:paraId="2FBB0EBA" w14:textId="58B2FF93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color w:val="000088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88"/>
                <w:sz w:val="20"/>
                <w:szCs w:val="20"/>
              </w:rPr>
              <w:t>Примеры работы в режиме блокнота:</w:t>
            </w:r>
          </w:p>
          <w:p w14:paraId="08EFA9DB" w14:textId="6BBF94C4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</w:pPr>
            <w:r w:rsidRPr="000A3AC1">
              <w:rPr>
                <w:rFonts w:ascii="Consolas" w:hAnsi="Consolas" w:cs="Courier New"/>
                <w:color w:val="000088"/>
                <w:sz w:val="20"/>
                <w:szCs w:val="20"/>
                <w:lang w:val="en-US"/>
              </w:rPr>
              <w:drawing>
                <wp:inline distT="0" distB="0" distL="0" distR="0" wp14:anchorId="5091FA5A" wp14:editId="0B3E2FE1">
                  <wp:extent cx="6120130" cy="219900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19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3AC1" w:rsidRPr="00CD2114" w14:paraId="6DA11BC3" w14:textId="77777777" w:rsidTr="00CD2114">
        <w:tc>
          <w:tcPr>
            <w:tcW w:w="9628" w:type="dxa"/>
          </w:tcPr>
          <w:p w14:paraId="4071ED15" w14:textId="3B5D061C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color w:val="000088"/>
                <w:sz w:val="20"/>
                <w:szCs w:val="20"/>
              </w:rPr>
            </w:pPr>
            <w:r w:rsidRPr="000A3AC1">
              <w:rPr>
                <w:rFonts w:ascii="Consolas" w:hAnsi="Consolas" w:cs="Courier New"/>
                <w:color w:val="000088"/>
                <w:sz w:val="20"/>
                <w:szCs w:val="20"/>
              </w:rPr>
              <w:drawing>
                <wp:inline distT="0" distB="0" distL="0" distR="0" wp14:anchorId="7AC033DD" wp14:editId="3A92A15E">
                  <wp:extent cx="6120130" cy="419481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19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3AC1" w:rsidRPr="00CD2114" w14:paraId="18F5E3E4" w14:textId="77777777" w:rsidTr="00CD2114">
        <w:tc>
          <w:tcPr>
            <w:tcW w:w="9628" w:type="dxa"/>
          </w:tcPr>
          <w:p w14:paraId="192F6181" w14:textId="77777777" w:rsid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color w:val="000088"/>
                <w:sz w:val="20"/>
                <w:szCs w:val="20"/>
              </w:rPr>
            </w:pPr>
            <w:r>
              <w:rPr>
                <w:rFonts w:ascii="Consolas" w:hAnsi="Consolas" w:cs="Courier New"/>
                <w:color w:val="000088"/>
                <w:sz w:val="20"/>
                <w:szCs w:val="20"/>
              </w:rPr>
              <w:t>Пример работы в режиме кода:</w:t>
            </w:r>
          </w:p>
          <w:p w14:paraId="4F480508" w14:textId="381FA620" w:rsidR="000A3AC1" w:rsidRPr="000A3AC1" w:rsidRDefault="000A3AC1">
            <w:pPr>
              <w:pStyle w:val="a5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ECECE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13199742"/>
              <w:rPr>
                <w:rFonts w:ascii="Consolas" w:hAnsi="Consolas" w:cs="Courier New"/>
                <w:color w:val="000088"/>
                <w:sz w:val="20"/>
                <w:szCs w:val="20"/>
              </w:rPr>
            </w:pPr>
            <w:r w:rsidRPr="000A3AC1">
              <w:rPr>
                <w:rFonts w:ascii="Consolas" w:hAnsi="Consolas" w:cs="Courier New"/>
                <w:color w:val="000088"/>
                <w:sz w:val="20"/>
                <w:szCs w:val="20"/>
              </w:rPr>
              <w:drawing>
                <wp:inline distT="0" distB="0" distL="0" distR="0" wp14:anchorId="3134EB39" wp14:editId="5630BC21">
                  <wp:extent cx="6120130" cy="3667760"/>
                  <wp:effectExtent l="0" t="0" r="0" b="889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6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AF3A42" w14:textId="77777777" w:rsidR="00E155A8" w:rsidRPr="00CD2114" w:rsidRDefault="00E155A8" w:rsidP="00CF19FD">
      <w:pPr>
        <w:spacing w:before="157" w:after="157"/>
        <w:rPr>
          <w:rFonts w:asciiTheme="majorHAnsi" w:eastAsia="source serif 4" w:hAnsiTheme="majorHAnsi" w:cstheme="majorHAnsi"/>
          <w:b/>
          <w:color w:val="000000"/>
        </w:rPr>
      </w:pPr>
    </w:p>
    <w:p w14:paraId="2D6122DE" w14:textId="77777777" w:rsidR="00E155A8" w:rsidRPr="00CD2114" w:rsidRDefault="00E155A8" w:rsidP="00CF19FD">
      <w:pPr>
        <w:spacing w:before="157" w:after="157"/>
        <w:rPr>
          <w:rFonts w:asciiTheme="majorHAnsi" w:hAnsiTheme="majorHAnsi" w:cstheme="majorHAnsi"/>
        </w:rPr>
      </w:pPr>
    </w:p>
    <w:p w14:paraId="5B2F7611" w14:textId="77777777" w:rsidR="00CD2114" w:rsidRPr="00CD2114" w:rsidRDefault="00CD2114" w:rsidP="00CF19FD">
      <w:pPr>
        <w:spacing w:before="157" w:after="157"/>
        <w:rPr>
          <w:rFonts w:asciiTheme="majorHAnsi" w:hAnsiTheme="majorHAnsi" w:cstheme="majorHAnsi"/>
        </w:rPr>
      </w:pPr>
    </w:p>
    <w:sectPr w:rsidR="00CD2114" w:rsidRPr="00CD2114" w:rsidSect="0012042A">
      <w:pgSz w:w="11906" w:h="16838" w:code="9"/>
      <w:pgMar w:top="1134" w:right="1134" w:bottom="1134" w:left="1134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0D5304"/>
    <w:multiLevelType w:val="hybridMultilevel"/>
    <w:tmpl w:val="082026EC"/>
    <w:lvl w:ilvl="0" w:tplc="9998CC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D52F58E">
      <w:numFmt w:val="decimal"/>
      <w:lvlText w:val=""/>
      <w:lvlJc w:val="left"/>
    </w:lvl>
    <w:lvl w:ilvl="2" w:tplc="CCC2D3F0">
      <w:numFmt w:val="decimal"/>
      <w:lvlText w:val=""/>
      <w:lvlJc w:val="left"/>
    </w:lvl>
    <w:lvl w:ilvl="3" w:tplc="598601DA">
      <w:numFmt w:val="decimal"/>
      <w:lvlText w:val=""/>
      <w:lvlJc w:val="left"/>
    </w:lvl>
    <w:lvl w:ilvl="4" w:tplc="83EA47C8">
      <w:numFmt w:val="decimal"/>
      <w:lvlText w:val=""/>
      <w:lvlJc w:val="left"/>
    </w:lvl>
    <w:lvl w:ilvl="5" w:tplc="5AE80556">
      <w:numFmt w:val="decimal"/>
      <w:lvlText w:val=""/>
      <w:lvlJc w:val="left"/>
    </w:lvl>
    <w:lvl w:ilvl="6" w:tplc="2C52A7B0">
      <w:numFmt w:val="decimal"/>
      <w:lvlText w:val=""/>
      <w:lvlJc w:val="left"/>
    </w:lvl>
    <w:lvl w:ilvl="7" w:tplc="A8622CDA">
      <w:numFmt w:val="decimal"/>
      <w:lvlText w:val=""/>
      <w:lvlJc w:val="left"/>
    </w:lvl>
    <w:lvl w:ilvl="8" w:tplc="1E9A3D5E">
      <w:numFmt w:val="decimal"/>
      <w:lvlText w:val=""/>
      <w:lvlJc w:val="left"/>
    </w:lvl>
  </w:abstractNum>
  <w:num w:numId="1" w16cid:durableId="952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F81"/>
    <w:rsid w:val="00022457"/>
    <w:rsid w:val="000A378E"/>
    <w:rsid w:val="000A3AC1"/>
    <w:rsid w:val="0012042A"/>
    <w:rsid w:val="002763F0"/>
    <w:rsid w:val="00292069"/>
    <w:rsid w:val="004B0D0D"/>
    <w:rsid w:val="00520BCC"/>
    <w:rsid w:val="005F45A1"/>
    <w:rsid w:val="00715F81"/>
    <w:rsid w:val="00764964"/>
    <w:rsid w:val="00776903"/>
    <w:rsid w:val="007C6E13"/>
    <w:rsid w:val="00837597"/>
    <w:rsid w:val="00AC4073"/>
    <w:rsid w:val="00BC032C"/>
    <w:rsid w:val="00CD2114"/>
    <w:rsid w:val="00CF19FD"/>
    <w:rsid w:val="00D21072"/>
    <w:rsid w:val="00E155A8"/>
    <w:rsid w:val="00E5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AD601"/>
  <w15:docId w15:val="{7A37D71E-8482-4B00-BC59-6D34E632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2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styleId="a3">
    <w:name w:val="Table Grid"/>
    <w:basedOn w:val="a1"/>
    <w:uiPriority w:val="39"/>
    <w:rsid w:val="00CF1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92069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20BCC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CD2114"/>
    <w:pPr>
      <w:spacing w:before="100" w:beforeAutospacing="1" w:after="100" w:afterAutospacing="1"/>
    </w:pPr>
    <w:rPr>
      <w:rFonts w:eastAsiaTheme="minorEastAsia"/>
    </w:rPr>
  </w:style>
  <w:style w:type="paragraph" w:customStyle="1" w:styleId="msonormal0">
    <w:name w:val="msonormal"/>
    <w:basedOn w:val="a"/>
    <w:rsid w:val="000A3AC1"/>
    <w:pPr>
      <w:spacing w:before="100" w:beforeAutospacing="1" w:after="100" w:afterAutospacing="1"/>
    </w:pPr>
    <w:rPr>
      <w:rFonts w:eastAsiaTheme="minorEastAsia"/>
    </w:rPr>
  </w:style>
  <w:style w:type="paragraph" w:styleId="HTML0">
    <w:name w:val="HTML Preformatted"/>
    <w:basedOn w:val="a"/>
    <w:link w:val="HTML1"/>
    <w:uiPriority w:val="99"/>
    <w:semiHidden/>
    <w:unhideWhenUsed/>
    <w:rsid w:val="000A3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A3AC1"/>
    <w:rPr>
      <w:rFonts w:ascii="Courier New" w:eastAsiaTheme="minorEastAsia" w:hAnsi="Courier New" w:cs="Courier New"/>
      <w:sz w:val="20"/>
      <w:szCs w:val="20"/>
      <w:lang w:eastAsia="ru-RU"/>
    </w:rPr>
  </w:style>
  <w:style w:type="character" w:styleId="a6">
    <w:name w:val="Hyperlink"/>
    <w:basedOn w:val="a0"/>
    <w:uiPriority w:val="99"/>
    <w:unhideWhenUsed/>
    <w:rsid w:val="000A3AC1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A3A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8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imo.io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ode.visualstudio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stral-sh/u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7ED973-B7B7-44D3-8907-B86FF989033C}">
  <we:reference id="wa104382008" version="1.1.0.2" store="ru-R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3BE0C-52DA-42DD-B2FD-8A2BF3501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16</Pages>
  <Words>4592</Words>
  <Characters>26176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Alex Samarkin</cp:lastModifiedBy>
  <cp:revision>6</cp:revision>
  <dcterms:created xsi:type="dcterms:W3CDTF">2026-09-23T11:39:00Z</dcterms:created>
  <dcterms:modified xsi:type="dcterms:W3CDTF">2026-09-23T12:27:00Z</dcterms:modified>
</cp:coreProperties>
</file>