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DA798" w14:textId="77777777" w:rsidR="0012042A" w:rsidRPr="0012042A" w:rsidRDefault="0012042A" w:rsidP="00CF19FD">
      <w:pPr>
        <w:spacing w:after="210"/>
        <w:rPr>
          <w:rFonts w:asciiTheme="majorHAnsi" w:hAnsiTheme="majorHAnsi" w:cstheme="majorHAnsi"/>
        </w:rPr>
      </w:pPr>
      <w:bookmarkStart w:id="0" w:name="динамическая_модель_оценки_технол_6702e5"/>
      <w:r w:rsidRPr="0012042A">
        <w:rPr>
          <w:rFonts w:asciiTheme="majorHAnsi" w:eastAsia="source serif 4" w:hAnsiTheme="majorHAnsi" w:cstheme="majorHAnsi"/>
          <w:b/>
          <w:color w:val="000000"/>
        </w:rPr>
        <w:t>УДК 330.4; 332.1</w:t>
      </w:r>
    </w:p>
    <w:p w14:paraId="3123592F" w14:textId="22C9864D" w:rsidR="0012042A" w:rsidRDefault="0012042A" w:rsidP="00CF19FD">
      <w:pPr>
        <w:spacing w:after="210"/>
        <w:jc w:val="right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Андреянова И.В.</w:t>
      </w:r>
      <w:r w:rsidRPr="0012042A">
        <w:rPr>
          <w:rFonts w:asciiTheme="majorHAnsi" w:eastAsia="source serif 4" w:hAnsiTheme="majorHAnsi" w:cstheme="majorHAnsi"/>
          <w:color w:val="000000"/>
        </w:rPr>
        <w:br/>
        <w:t xml:space="preserve">канд. </w:t>
      </w:r>
      <w:r>
        <w:rPr>
          <w:rFonts w:asciiTheme="majorHAnsi" w:eastAsia="source serif 4" w:hAnsiTheme="majorHAnsi" w:cstheme="majorHAnsi"/>
          <w:color w:val="000000"/>
        </w:rPr>
        <w:t>юридических</w:t>
      </w:r>
      <w:r w:rsidRPr="0012042A">
        <w:rPr>
          <w:rFonts w:asciiTheme="majorHAnsi" w:eastAsia="source serif 4" w:hAnsiTheme="majorHAnsi" w:cstheme="majorHAnsi"/>
          <w:color w:val="000000"/>
        </w:rPr>
        <w:t>. наук, доцент</w:t>
      </w:r>
      <w:r w:rsidRPr="0012042A">
        <w:rPr>
          <w:rFonts w:asciiTheme="majorHAnsi" w:eastAsia="source serif 4" w:hAnsiTheme="majorHAnsi" w:cstheme="majorHAnsi"/>
          <w:color w:val="000000"/>
        </w:rPr>
        <w:br/>
      </w:r>
      <w:r>
        <w:rPr>
          <w:rFonts w:asciiTheme="majorHAnsi" w:eastAsia="source serif 4" w:hAnsiTheme="majorHAnsi" w:cstheme="majorHAnsi"/>
          <w:color w:val="000000"/>
        </w:rPr>
        <w:t>Фонд развития ИНТЦ ЮНИТИ ПАРК</w:t>
      </w:r>
      <w:r w:rsidRPr="0012042A">
        <w:rPr>
          <w:rFonts w:asciiTheme="majorHAnsi" w:eastAsia="source serif 4" w:hAnsiTheme="majorHAnsi" w:cstheme="majorHAnsi"/>
          <w:color w:val="000000"/>
        </w:rPr>
        <w:br/>
        <w:t xml:space="preserve">г. </w:t>
      </w:r>
      <w:r>
        <w:rPr>
          <w:rFonts w:asciiTheme="majorHAnsi" w:eastAsia="source serif 4" w:hAnsiTheme="majorHAnsi" w:cstheme="majorHAnsi"/>
          <w:color w:val="000000"/>
        </w:rPr>
        <w:t>Сургут</w:t>
      </w:r>
      <w:r w:rsidRPr="0012042A">
        <w:rPr>
          <w:rFonts w:asciiTheme="majorHAnsi" w:eastAsia="source serif 4" w:hAnsiTheme="majorHAnsi" w:cstheme="majorHAnsi"/>
          <w:color w:val="000000"/>
        </w:rPr>
        <w:t>, Россия</w:t>
      </w:r>
    </w:p>
    <w:p w14:paraId="21868565" w14:textId="77777777" w:rsidR="0012042A" w:rsidRPr="0012042A" w:rsidRDefault="0012042A" w:rsidP="00CF19FD">
      <w:pPr>
        <w:spacing w:after="210"/>
        <w:rPr>
          <w:rFonts w:asciiTheme="majorHAnsi" w:hAnsiTheme="majorHAnsi" w:cstheme="majorHAnsi"/>
        </w:rPr>
      </w:pPr>
    </w:p>
    <w:p w14:paraId="195B62BA" w14:textId="513D04FE" w:rsidR="00715F81" w:rsidRPr="0012042A" w:rsidRDefault="0012042A" w:rsidP="00CF19FD">
      <w:pPr>
        <w:spacing w:before="157" w:after="157"/>
        <w:jc w:val="center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ДИНАМИЧЕСКАЯ МОДЕЛЬ ОЦЕНКИ ТЕХНОЛОГИЧЕСКОГО И СОЦИАЛЬНО-ЭКОНОМИЧЕСКОГО ПОТЕНЦИАЛА РЕСУРСОДОБЫВАЮЩЕГО РЕГИОНА (НА ПРИМЕРЕ ХМАО–ЮГРЫ)</w:t>
      </w:r>
      <w:bookmarkEnd w:id="0"/>
    </w:p>
    <w:p w14:paraId="17B74DE8" w14:textId="0F17CBFC" w:rsidR="00715F81" w:rsidRPr="00CF19FD" w:rsidRDefault="00000000" w:rsidP="00CF19FD">
      <w:pPr>
        <w:spacing w:before="315" w:after="105"/>
        <w:ind w:left="-30" w:firstLine="597"/>
        <w:jc w:val="both"/>
        <w:rPr>
          <w:rFonts w:asciiTheme="majorHAnsi" w:eastAsia="source serif 4" w:hAnsiTheme="majorHAnsi" w:cstheme="majorHAnsi"/>
          <w:color w:val="000000"/>
        </w:rPr>
      </w:pPr>
      <w:bookmarkStart w:id="1" w:name="аннотация"/>
      <w:r w:rsidRPr="0012042A">
        <w:rPr>
          <w:rFonts w:asciiTheme="majorHAnsi" w:eastAsia="source serif 4" w:hAnsiTheme="majorHAnsi" w:cstheme="majorHAnsi"/>
          <w:b/>
          <w:color w:val="000000"/>
        </w:rPr>
        <w:t>Аннотация</w:t>
      </w:r>
      <w:bookmarkEnd w:id="1"/>
      <w:r w:rsidR="0012042A">
        <w:rPr>
          <w:rFonts w:asciiTheme="majorHAnsi" w:eastAsia="source serif 4" w:hAnsiTheme="majorHAnsi" w:cstheme="majorHAnsi"/>
          <w:b/>
          <w:color w:val="000000"/>
        </w:rPr>
        <w:t xml:space="preserve">. 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В статье предложена агрегированная динамическая модель оценки технологического и социально-экономического потенциала ресурсодобывающего региона. Модель представлена системой взаимосвязанных дифференциальных уравнений, отражающих изменение технологического потенциала, социально-экономического потенциала, инвестиционно-инновационной активности и экологической нагрузки. Методический подход предусматривает формирование нормированных интегральных индексов на основе официальной статистики и проведение сценарных расчетов в программной среде Python. </w:t>
      </w:r>
      <w:r w:rsidR="00CF19FD" w:rsidRPr="00CF19FD">
        <w:rPr>
          <w:rFonts w:asciiTheme="majorHAnsi" w:eastAsia="source serif 4" w:hAnsiTheme="majorHAnsi" w:cstheme="majorHAnsi"/>
          <w:color w:val="000000"/>
        </w:rPr>
        <w:t>В целях обеспечения содержательной интерпретируемости переменных уравнения дополнены механизмами насыщения, ограничивающими значения индексов интервалом от 0 до 1. Проведены предварительные сценарные расчёты для ХМАО–Югры на период 2024–2030 годов. Рассмотрены базовый, технологический, экологический и комбинированный сценарии</w:t>
      </w:r>
      <w:r w:rsidR="00CF19FD" w:rsidRPr="00CF19FD">
        <w:rPr>
          <w:rFonts w:asciiTheme="majorHAnsi" w:eastAsia="source serif 4" w:hAnsiTheme="majorHAnsi" w:cstheme="majorHAnsi"/>
          <w:color w:val="000000"/>
        </w:rPr>
        <w:t xml:space="preserve">. </w:t>
      </w:r>
      <w:r w:rsidRPr="0012042A">
        <w:rPr>
          <w:rFonts w:asciiTheme="majorHAnsi" w:eastAsia="source serif 4" w:hAnsiTheme="majorHAnsi" w:cstheme="majorHAnsi"/>
          <w:color w:val="000000"/>
        </w:rPr>
        <w:t>В качестве объекта апробации рассматривается Ханты-Мансийский автономный округ – Югра. Результаты могут использоваться для сопоставления вариантов промышленной политики, ориентированных на технологическую модернизацию, повышение качества жизни и снижение экологических рисков.</w:t>
      </w:r>
      <w:r w:rsidR="00CF19FD" w:rsidRPr="00CF19FD">
        <w:rPr>
          <w:rFonts w:asciiTheme="majorHAnsi" w:eastAsia="source serif 4" w:hAnsiTheme="majorHAnsi" w:cstheme="majorHAnsi"/>
          <w:color w:val="000000"/>
        </w:rPr>
        <w:t xml:space="preserve"> </w:t>
      </w:r>
      <w:r w:rsidR="00CF19FD" w:rsidRPr="00CF19FD">
        <w:rPr>
          <w:rFonts w:asciiTheme="majorHAnsi" w:eastAsia="source serif 4" w:hAnsiTheme="majorHAnsi" w:cstheme="majorHAnsi"/>
          <w:color w:val="000000"/>
        </w:rPr>
        <w:t>К 2030 году наибольшее значение сводного индекса получено в комбинированном сценарии — 0,447 против 0,423 в базовом сценарии. Расчёты имеют предварительный сценарный характер и не заменяют статистическую калибровку параметров.</w:t>
      </w:r>
    </w:p>
    <w:p w14:paraId="276CC03F" w14:textId="77777777" w:rsidR="0012042A" w:rsidRPr="0012042A" w:rsidRDefault="0012042A" w:rsidP="00CF19FD">
      <w:pPr>
        <w:spacing w:before="315" w:after="105"/>
        <w:ind w:left="-30" w:firstLine="597"/>
        <w:jc w:val="both"/>
        <w:rPr>
          <w:rFonts w:asciiTheme="majorHAnsi" w:hAnsiTheme="majorHAnsi" w:cstheme="majorHAnsi"/>
        </w:rPr>
      </w:pPr>
    </w:p>
    <w:p w14:paraId="6E34880F" w14:textId="77777777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Ключевые слова: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ресурсодобывающий регион; ХМАО–Югра; устойчивое развитие; технологический потенциал; социально-экономический потенциал; промышленная политика; динамическая модель; дифференциальные уравнения.</w:t>
      </w:r>
    </w:p>
    <w:p w14:paraId="39538C53" w14:textId="77777777" w:rsidR="0012042A" w:rsidRPr="0012042A" w:rsidRDefault="0012042A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</w:p>
    <w:p w14:paraId="70548BED" w14:textId="77777777" w:rsidR="00715F81" w:rsidRPr="0012042A" w:rsidRDefault="00000000" w:rsidP="00CF19FD">
      <w:pPr>
        <w:spacing w:before="315" w:after="105"/>
        <w:ind w:left="-30" w:firstLine="597"/>
        <w:rPr>
          <w:rFonts w:asciiTheme="majorHAnsi" w:hAnsiTheme="majorHAnsi" w:cstheme="majorHAnsi"/>
        </w:rPr>
      </w:pPr>
      <w:bookmarkStart w:id="2" w:name="введение"/>
      <w:r w:rsidRPr="0012042A">
        <w:rPr>
          <w:rFonts w:asciiTheme="majorHAnsi" w:eastAsia="source serif 4" w:hAnsiTheme="majorHAnsi" w:cstheme="majorHAnsi"/>
          <w:b/>
          <w:color w:val="000000"/>
        </w:rPr>
        <w:t>Введение</w:t>
      </w:r>
      <w:bookmarkEnd w:id="2"/>
    </w:p>
    <w:p w14:paraId="7688F343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Ресурсодобывающие регионы сохраняют ключевое значение для социально-экономического развития Российской Федерации, обеспечения энергетической безопасности и формирования бюджетных доходов. Вместе с тем специализация на добыче углеводородного сырья сопровождается рисками технологической зависимости, высокой чувствительностью к колебаниям внешней конъюнктуры, экологическими ограничениями и неравномерностью пространственного развития. Для Ханты-Мансийского автономного округа – Югры эти обстоятельства определяют необходимость согласования промышленной политики, инновационного развития, накопления человеческого капитала и природоохранной деятельности.</w:t>
      </w:r>
    </w:p>
    <w:p w14:paraId="7EE94E64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В исследованиях региональных инновационных систем подчеркивается, что инновационное развитие возникает не как линейный результат вложений в исследования и </w:t>
      </w:r>
      <w:r w:rsidRPr="0012042A">
        <w:rPr>
          <w:rFonts w:asciiTheme="majorHAnsi" w:eastAsia="source serif 4" w:hAnsiTheme="majorHAnsi" w:cstheme="majorHAnsi"/>
          <w:color w:val="000000"/>
        </w:rPr>
        <w:lastRenderedPageBreak/>
        <w:t xml:space="preserve">разработки, а как следствие взаимодействия предприятий, государства, научно-образовательных организаций и институтов развития [1; 2]. Концепция тройной спирали Г. 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Ицковица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и Л. 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Лейдесдорфа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позволяет рассматривать такие взаимодействия как основу производства и распространения знаний [3]. Для ресурсодобывающего региона требуется дополнить данный подход учетом экологического фактора и ограничений, связанных с природно-ресурсной специализацией.</w:t>
      </w:r>
    </w:p>
    <w:p w14:paraId="577158AC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В современной литературе устойчивое развитие регионов оценивается преимущественно посредством систем статистических показателей и интегральных индексов [4; 5]. Такие оценки позволяют установить текущее положение территории, однако в меньшей степени объясняют взаимное влияние технологических, социальных, инвестиционных и экологических факторов во времени. Методы системной динамики и имитационного моделирования, напротив, предназначены для анализа систем с обратными связями и оценки последствий альтернативных управленческих воздействий [6; 7].</w:t>
      </w:r>
    </w:p>
    <w:p w14:paraId="56977FB4" w14:textId="6E9642ED" w:rsidR="00CF19FD" w:rsidRPr="00CF19FD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Цель исследования состоит в разработке динамической модели, обеспечивающей сценарную оценку взаимосвязанного изменения технологического и социально-экономического потенциала ресурсодобывающего региона с учетом инвестиционно-инновационной активности и экологической нагрузки. Объектом апробации выступает Ханты-Мансийский автономный округ – Югра.</w:t>
      </w:r>
      <w:r w:rsidR="00CF19FD" w:rsidRPr="00CF19FD">
        <w:rPr>
          <w:rFonts w:asciiTheme="majorHAnsi" w:eastAsia="source serif 4" w:hAnsiTheme="majorHAnsi" w:cstheme="majorHAnsi"/>
          <w:color w:val="000000"/>
        </w:rPr>
        <w:t xml:space="preserve"> </w:t>
      </w:r>
      <w:r w:rsidR="00CF19FD">
        <w:rPr>
          <w:rFonts w:asciiTheme="majorHAnsi" w:eastAsia="source serif 4" w:hAnsiTheme="majorHAnsi" w:cstheme="majorHAnsi"/>
          <w:color w:val="000000"/>
        </w:rPr>
        <w:t>Проблема исследования</w:t>
      </w:r>
      <w:r w:rsidR="00CF19FD" w:rsidRPr="00CF19FD">
        <w:rPr>
          <w:rFonts w:asciiTheme="majorHAnsi" w:eastAsia="source serif 4" w:hAnsiTheme="majorHAnsi" w:cstheme="majorHAnsi"/>
          <w:color w:val="000000"/>
        </w:rPr>
        <w:t xml:space="preserve"> состоит в том, позволяют ли согласованные технологические и природоохранные меры улучшить траекторию развития региона по сравнению с раздельным применением этих мер при одинаковых макроэкономических и ресурсных предпосылках.</w:t>
      </w:r>
      <w:r w:rsidR="00CF19FD">
        <w:rPr>
          <w:rFonts w:asciiTheme="majorHAnsi" w:eastAsia="source serif 4" w:hAnsiTheme="majorHAnsi" w:cstheme="majorHAnsi"/>
          <w:color w:val="000000"/>
        </w:rPr>
        <w:t xml:space="preserve"> Следует отметить, что н</w:t>
      </w:r>
      <w:r w:rsidR="00CF19FD" w:rsidRPr="00CF19FD">
        <w:rPr>
          <w:rFonts w:asciiTheme="majorHAnsi" w:eastAsia="source serif 4" w:hAnsiTheme="majorHAnsi" w:cstheme="majorHAnsi"/>
          <w:color w:val="000000"/>
        </w:rPr>
        <w:t>а данном этапе модель используется как инструмент предварительного сценарного анализа. Представленные коэффициенты не являются результатом эконометрической оценки по региональным временным рядам.</w:t>
      </w:r>
    </w:p>
    <w:p w14:paraId="35C58C90" w14:textId="7E7FB3B9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  <w:b/>
          <w:bCs/>
        </w:rPr>
      </w:pPr>
      <w:bookmarkStart w:id="3" w:name="методический_подход"/>
      <w:r w:rsidRPr="0012042A">
        <w:rPr>
          <w:rFonts w:asciiTheme="majorHAnsi" w:eastAsia="source serif 4" w:hAnsiTheme="majorHAnsi" w:cstheme="majorHAnsi"/>
          <w:b/>
          <w:bCs/>
          <w:color w:val="000000"/>
        </w:rPr>
        <w:t>Методи</w:t>
      </w:r>
      <w:bookmarkEnd w:id="3"/>
      <w:r w:rsidR="00CF19FD">
        <w:rPr>
          <w:rFonts w:asciiTheme="majorHAnsi" w:eastAsia="source serif 4" w:hAnsiTheme="majorHAnsi" w:cstheme="majorHAnsi"/>
          <w:b/>
          <w:bCs/>
          <w:color w:val="000000"/>
        </w:rPr>
        <w:t>ка</w:t>
      </w:r>
    </w:p>
    <w:p w14:paraId="76AE32C5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Под технологическим потенциалом региона понимается совокупная способность региональной экономики создавать, внедрять и распространять новые технологические решения. Его эмпирическая оценка может включать показатели затрат на исследования и разработки, численности исследователей и инженерно-технического персонала, объема инновационной продукции, патентной активности, обеспеченности цифровой и производственной инфраструктурой.</w:t>
      </w:r>
    </w:p>
    <w:p w14:paraId="13DEB431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Социально-экономический потенциал характеризует способность территории обеспечивать устойчивое воспроизводство доходов, занятости, квалифицированных кадров и качества жизни населения. В его состав могут быть включены валовой региональный продукт на душу населения, производительность труда, инвестиции в основной капитал, реальные доходы населения, занятость, миграционное сальдо и параметры социальной инфраструктуры.</w:t>
      </w:r>
    </w:p>
    <w:p w14:paraId="61B382C2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Инвестиционно-инновационная активность отражает объем и направленность ресурсов, используемых для технологического обновления экономики. В качестве исходных индикаторов могут применяться инвестиции в основной капитал, внутренние затраты на исследования и разработки, затраты организаций на технологические инновации, число инновационно активных организаций и объем государственной поддержки инновационных проектов.</w:t>
      </w:r>
    </w:p>
    <w:p w14:paraId="3EAC26D7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Экологическая нагрузка трактуется как интегральная характеристика антропогенного воздействия на природную среду региона. Ее оценка может основываться на данных о выбросах загрязняющих веществ, образовании отходов, нарушенных землях, сбросах загрязненных сточных вод, аварийности на объектах добычи и затратах на охрану окружающей среды.</w:t>
      </w:r>
    </w:p>
    <w:p w14:paraId="6D5AE231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каждого блока рекомендуется сформировать нормированный интегральный индекс. Для показателя-стимулятора используется преобразование:</w:t>
      </w:r>
    </w:p>
    <w:p w14:paraId="52A454B5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(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)-min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#(1)</m:t>
              </m:r>
            </m:e>
          </m:eqArr>
        </m:oMath>
      </m:oMathPara>
    </w:p>
    <w:p w14:paraId="0552749B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показателя-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дестимулятора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применяется обратное нормирование:</w:t>
      </w:r>
    </w:p>
    <w:p w14:paraId="47501169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(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#(2)</m:t>
              </m:r>
            </m:e>
          </m:eqArr>
        </m:oMath>
      </m:oMathPara>
    </w:p>
    <w:p w14:paraId="65B8BE56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Интегральный индекс соответствующего блока определяется как взвешенная сумма нормированных показателей:</w:t>
      </w:r>
    </w:p>
    <w:p w14:paraId="7B6AD73C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=1</m:t>
                  </m:r>
                </m:sub>
                <m:sup>
                  <m:r>
                    <w:rPr>
                      <w:rFonts w:ascii="Cambria Math" w:hAnsi="Cambria Math" w:cstheme="majorHAnsi"/>
                      <w:color w:val="00000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 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), 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=1</m:t>
                  </m:r>
                </m:sub>
                <m:sup>
                  <m:r>
                    <w:rPr>
                      <w:rFonts w:ascii="Cambria Math" w:hAnsi="Cambria Math" w:cstheme="majorHAnsi"/>
                      <w:color w:val="00000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 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=1,</m:t>
              </m:r>
              <m:r>
                <w:rPr>
                  <w:rFonts w:ascii="Cambria Math" w:hAnsi="Cambria Math" w:cstheme="majorHAnsi"/>
                  <w:color w:val="000000"/>
                </w:rPr>
                <m:t>#(3)</m:t>
              </m:r>
            </m:e>
          </m:eqArr>
        </m:oMath>
      </m:oMathPara>
    </w:p>
    <w:p w14:paraId="4CD00B83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где </w:t>
      </w:r>
      <m:oMath>
        <m:r>
          <w:rPr>
            <w:rFonts w:ascii="Cambria Math" w:hAnsi="Cambria Math" w:cstheme="majorHAnsi"/>
            <w:color w:val="000000"/>
          </w:rPr>
          <m:t>X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один из индексов </w:t>
      </w:r>
      <m:oMath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r>
          <w:rPr>
            <w:rFonts w:ascii="Cambria Math" w:hAnsi="Cambria Math" w:cstheme="majorHAnsi"/>
            <w:color w:val="000000"/>
          </w:rPr>
          <m:t>S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r>
          <w:rPr>
            <w:rFonts w:ascii="Cambria Math" w:hAnsi="Cambria Math" w:cstheme="majorHAnsi"/>
            <w:color w:val="000000"/>
          </w:rPr>
          <m:t>I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или </w:t>
      </w:r>
      <m:oMath>
        <m:r>
          <w:rPr>
            <w:rFonts w:ascii="Cambria Math" w:hAnsi="Cambria Math" w:cstheme="majorHAnsi"/>
            <w:color w:val="000000"/>
          </w:rPr>
          <m:t>E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;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w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i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вес i-го показателя. Веса могут определяться равномерно, экспертным методом, методом главных компонент либо на основе энтропийного подхода. Для первой апробации модели целесообразно применить равные веса с последующим анализом чувствительности результата к их изменению.</w:t>
      </w:r>
    </w:p>
    <w:p w14:paraId="64567E06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4" w:name="динамическая_модель"/>
      <w:r w:rsidRPr="0012042A">
        <w:rPr>
          <w:rFonts w:asciiTheme="majorHAnsi" w:eastAsia="source serif 4" w:hAnsiTheme="majorHAnsi" w:cstheme="majorHAnsi"/>
          <w:b/>
          <w:color w:val="000000"/>
        </w:rPr>
        <w:t>Динамическая модель</w:t>
      </w:r>
      <w:bookmarkEnd w:id="4"/>
    </w:p>
    <w:p w14:paraId="652D996C" w14:textId="46BD9BB5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Состояние региональной системы описывается четырьмя переменными: </w:t>
      </w:r>
      <m:oMath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технологический потенциал; </w:t>
      </w:r>
      <m:oMath>
        <m:r>
          <w:rPr>
            <w:rFonts w:ascii="Cambria Math" w:hAnsi="Cambria Math" w:cstheme="majorHAnsi"/>
            <w:color w:val="000000"/>
          </w:rPr>
          <m:t>S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социально-экономический потенциал; </w:t>
      </w:r>
      <m:oMath>
        <m:r>
          <w:rPr>
            <w:rFonts w:ascii="Cambria Math" w:hAnsi="Cambria Math" w:cstheme="majorHAnsi"/>
            <w:color w:val="000000"/>
          </w:rPr>
          <m:t>I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инвестиционно-инновационная активность; </w:t>
      </w:r>
      <m:oMath>
        <m:r>
          <w:rPr>
            <w:rFonts w:ascii="Cambria Math" w:hAnsi="Cambria Math" w:cstheme="majorHAnsi"/>
            <w:color w:val="000000"/>
          </w:rPr>
          <m:t>E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экологическая нагрузка. Все переменные измеряются в нормированной шкале от 0 до 1 либо в стандартизированной безразмерной шкале.</w:t>
      </w:r>
      <w:r w:rsidR="00CF19FD">
        <w:rPr>
          <w:rFonts w:asciiTheme="majorHAnsi" w:eastAsia="source serif 4" w:hAnsiTheme="majorHAnsi" w:cstheme="majorHAnsi"/>
          <w:color w:val="000000"/>
        </w:rPr>
        <w:t xml:space="preserve"> </w:t>
      </w:r>
      <w:r w:rsidR="00CF19FD" w:rsidRPr="00CF19FD">
        <w:rPr>
          <w:rFonts w:asciiTheme="majorHAnsi" w:eastAsia="source serif 4" w:hAnsiTheme="majorHAnsi" w:cstheme="majorHAnsi"/>
          <w:color w:val="000000"/>
        </w:rPr>
        <w:t>Официальные данные используются для формирования наблюдаемых индексов и исходного состояния системы. Значения управленческих воздействий после 2024 года задаются как сценарные предположения и не интерпретируются как официальный прогноз органов власти.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6"/>
        <w:gridCol w:w="2949"/>
        <w:gridCol w:w="5133"/>
      </w:tblGrid>
      <w:tr w:rsidR="00CF19FD" w:rsidRPr="00CF19FD" w14:paraId="305FF828" w14:textId="77777777" w:rsidTr="00CF19FD">
        <w:tc>
          <w:tcPr>
            <w:tcW w:w="0" w:type="auto"/>
            <w:hideMark/>
          </w:tcPr>
          <w:p w14:paraId="686ADDAB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F19FD">
              <w:rPr>
                <w:rFonts w:asciiTheme="majorHAnsi" w:hAnsiTheme="majorHAnsi" w:cstheme="majorHAnsi"/>
                <w:b/>
                <w:bCs/>
              </w:rPr>
              <w:t>Переменная</w:t>
            </w:r>
          </w:p>
        </w:tc>
        <w:tc>
          <w:tcPr>
            <w:tcW w:w="0" w:type="auto"/>
            <w:hideMark/>
          </w:tcPr>
          <w:p w14:paraId="66C6D1F2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F19FD">
              <w:rPr>
                <w:rFonts w:asciiTheme="majorHAnsi" w:hAnsiTheme="majorHAnsi" w:cstheme="majorHAnsi"/>
                <w:b/>
                <w:bCs/>
              </w:rPr>
              <w:t>Интерпретация</w:t>
            </w:r>
          </w:p>
        </w:tc>
        <w:tc>
          <w:tcPr>
            <w:tcW w:w="0" w:type="auto"/>
            <w:hideMark/>
          </w:tcPr>
          <w:p w14:paraId="74710F2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CF19FD">
              <w:rPr>
                <w:rFonts w:asciiTheme="majorHAnsi" w:hAnsiTheme="majorHAnsi" w:cstheme="majorHAnsi"/>
                <w:b/>
                <w:bCs/>
              </w:rPr>
              <w:t>Предлагаемые данные</w:t>
            </w:r>
          </w:p>
        </w:tc>
      </w:tr>
      <w:tr w:rsidR="00CF19FD" w:rsidRPr="00CF19FD" w14:paraId="30F4615D" w14:textId="77777777" w:rsidTr="00CF19FD">
        <w:tc>
          <w:tcPr>
            <w:tcW w:w="0" w:type="auto"/>
            <w:hideMark/>
          </w:tcPr>
          <w:p w14:paraId="6CBFE30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T(t)</w:t>
            </w:r>
          </w:p>
        </w:tc>
        <w:tc>
          <w:tcPr>
            <w:tcW w:w="0" w:type="auto"/>
            <w:hideMark/>
          </w:tcPr>
          <w:p w14:paraId="18759535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Технологический потенциал</w:t>
            </w:r>
          </w:p>
        </w:tc>
        <w:tc>
          <w:tcPr>
            <w:tcW w:w="0" w:type="auto"/>
            <w:hideMark/>
          </w:tcPr>
          <w:p w14:paraId="71E9C9E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затраты на НИОКР, численность исследователей, объём инновационной продукции, доля высокотехнологичных отраслей в ВРП</w:t>
            </w:r>
          </w:p>
        </w:tc>
      </w:tr>
      <w:tr w:rsidR="00CF19FD" w:rsidRPr="00CF19FD" w14:paraId="3D0E9A4B" w14:textId="77777777" w:rsidTr="00CF19FD">
        <w:tc>
          <w:tcPr>
            <w:tcW w:w="0" w:type="auto"/>
            <w:hideMark/>
          </w:tcPr>
          <w:p w14:paraId="2A4805B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S(t)</w:t>
            </w:r>
          </w:p>
        </w:tc>
        <w:tc>
          <w:tcPr>
            <w:tcW w:w="0" w:type="auto"/>
            <w:hideMark/>
          </w:tcPr>
          <w:p w14:paraId="28107B5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Социально-экономический потенциал</w:t>
            </w:r>
          </w:p>
        </w:tc>
        <w:tc>
          <w:tcPr>
            <w:tcW w:w="0" w:type="auto"/>
            <w:hideMark/>
          </w:tcPr>
          <w:p w14:paraId="1B58E9D0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реальные доходы, занятость, миграционное сальдо, производительность труда, обеспеченность социальными услугами</w:t>
            </w:r>
          </w:p>
        </w:tc>
      </w:tr>
      <w:tr w:rsidR="00CF19FD" w:rsidRPr="00CF19FD" w14:paraId="772DBD31" w14:textId="77777777" w:rsidTr="00CF19FD">
        <w:tc>
          <w:tcPr>
            <w:tcW w:w="0" w:type="auto"/>
            <w:hideMark/>
          </w:tcPr>
          <w:p w14:paraId="7441FEE4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I(t)</w:t>
            </w:r>
          </w:p>
        </w:tc>
        <w:tc>
          <w:tcPr>
            <w:tcW w:w="0" w:type="auto"/>
            <w:hideMark/>
          </w:tcPr>
          <w:p w14:paraId="22DC744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Инвестиционно-инновационная активность</w:t>
            </w:r>
          </w:p>
        </w:tc>
        <w:tc>
          <w:tcPr>
            <w:tcW w:w="0" w:type="auto"/>
            <w:hideMark/>
          </w:tcPr>
          <w:p w14:paraId="7E64AC2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затраты на инновации, доля организаций с технологическими инновациями, инвестиции в технологическое обновление</w:t>
            </w:r>
          </w:p>
        </w:tc>
      </w:tr>
      <w:tr w:rsidR="00CF19FD" w:rsidRPr="00CF19FD" w14:paraId="7A8068C6" w14:textId="77777777" w:rsidTr="00CF19FD">
        <w:tc>
          <w:tcPr>
            <w:tcW w:w="0" w:type="auto"/>
            <w:hideMark/>
          </w:tcPr>
          <w:p w14:paraId="30BFFD6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E(t)</w:t>
            </w:r>
          </w:p>
        </w:tc>
        <w:tc>
          <w:tcPr>
            <w:tcW w:w="0" w:type="auto"/>
            <w:hideMark/>
          </w:tcPr>
          <w:p w14:paraId="50695B5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Экологическая нагрузка</w:t>
            </w:r>
          </w:p>
        </w:tc>
        <w:tc>
          <w:tcPr>
            <w:tcW w:w="0" w:type="auto"/>
            <w:hideMark/>
          </w:tcPr>
          <w:p w14:paraId="74E118C6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 xml:space="preserve">выбросы, отходы, площадь </w:t>
            </w:r>
            <w:proofErr w:type="spellStart"/>
            <w:r w:rsidRPr="00CF19FD">
              <w:rPr>
                <w:rFonts w:asciiTheme="majorHAnsi" w:hAnsiTheme="majorHAnsi" w:cstheme="majorHAnsi"/>
              </w:rPr>
              <w:t>нефтезагрязнённых</w:t>
            </w:r>
            <w:proofErr w:type="spellEnd"/>
            <w:r w:rsidRPr="00CF19FD">
              <w:rPr>
                <w:rFonts w:asciiTheme="majorHAnsi" w:hAnsiTheme="majorHAnsi" w:cstheme="majorHAnsi"/>
              </w:rPr>
              <w:t xml:space="preserve"> земель, аварийность</w:t>
            </w:r>
          </w:p>
        </w:tc>
      </w:tr>
      <w:tr w:rsidR="00CF19FD" w:rsidRPr="00CF19FD" w14:paraId="1D369F6E" w14:textId="77777777" w:rsidTr="00CF19FD">
        <w:tc>
          <w:tcPr>
            <w:tcW w:w="0" w:type="auto"/>
            <w:hideMark/>
          </w:tcPr>
          <w:p w14:paraId="2B407615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H(t)</w:t>
            </w:r>
          </w:p>
        </w:tc>
        <w:tc>
          <w:tcPr>
            <w:tcW w:w="0" w:type="auto"/>
            <w:hideMark/>
          </w:tcPr>
          <w:p w14:paraId="62FECAB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Человеческий капитал</w:t>
            </w:r>
          </w:p>
        </w:tc>
        <w:tc>
          <w:tcPr>
            <w:tcW w:w="0" w:type="auto"/>
            <w:hideMark/>
          </w:tcPr>
          <w:p w14:paraId="63B4769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образование, подготовка инженерных и научных кадров</w:t>
            </w:r>
          </w:p>
        </w:tc>
      </w:tr>
      <w:tr w:rsidR="00CF19FD" w:rsidRPr="00CF19FD" w14:paraId="67BC8259" w14:textId="77777777" w:rsidTr="00CF19FD">
        <w:tc>
          <w:tcPr>
            <w:tcW w:w="0" w:type="auto"/>
            <w:hideMark/>
          </w:tcPr>
          <w:p w14:paraId="538EFC40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M(t)</w:t>
            </w:r>
          </w:p>
        </w:tc>
        <w:tc>
          <w:tcPr>
            <w:tcW w:w="0" w:type="auto"/>
            <w:hideMark/>
          </w:tcPr>
          <w:p w14:paraId="2F70136B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Внешний макроэкономический импульс</w:t>
            </w:r>
          </w:p>
        </w:tc>
        <w:tc>
          <w:tcPr>
            <w:tcW w:w="0" w:type="auto"/>
            <w:hideMark/>
          </w:tcPr>
          <w:p w14:paraId="79A5C67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индекс физического объёма ВРП или промышленного производства</w:t>
            </w:r>
          </w:p>
        </w:tc>
      </w:tr>
      <w:tr w:rsidR="00CF19FD" w:rsidRPr="00CF19FD" w14:paraId="65CC6DCC" w14:textId="77777777" w:rsidTr="00CF19FD">
        <w:tc>
          <w:tcPr>
            <w:tcW w:w="0" w:type="auto"/>
            <w:hideMark/>
          </w:tcPr>
          <w:p w14:paraId="45E1818C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P(t)</w:t>
            </w:r>
          </w:p>
        </w:tc>
        <w:tc>
          <w:tcPr>
            <w:tcW w:w="0" w:type="auto"/>
            <w:hideMark/>
          </w:tcPr>
          <w:p w14:paraId="7733C34E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Интенсивность технологической политики</w:t>
            </w:r>
          </w:p>
        </w:tc>
        <w:tc>
          <w:tcPr>
            <w:tcW w:w="0" w:type="auto"/>
            <w:hideMark/>
          </w:tcPr>
          <w:p w14:paraId="17D8734F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нормированный сценарный индекс мер поддержки</w:t>
            </w:r>
          </w:p>
        </w:tc>
      </w:tr>
      <w:tr w:rsidR="00CF19FD" w:rsidRPr="00CF19FD" w14:paraId="48EFEE43" w14:textId="77777777" w:rsidTr="00CF19FD">
        <w:tc>
          <w:tcPr>
            <w:tcW w:w="0" w:type="auto"/>
            <w:hideMark/>
          </w:tcPr>
          <w:p w14:paraId="6E9D0B9D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R(t)</w:t>
            </w:r>
          </w:p>
        </w:tc>
        <w:tc>
          <w:tcPr>
            <w:tcW w:w="0" w:type="auto"/>
            <w:hideMark/>
          </w:tcPr>
          <w:p w14:paraId="19D3847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Ограничения</w:t>
            </w:r>
          </w:p>
        </w:tc>
        <w:tc>
          <w:tcPr>
            <w:tcW w:w="0" w:type="auto"/>
            <w:hideMark/>
          </w:tcPr>
          <w:p w14:paraId="628CA702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финансовые, инфраструктурные и институциональные ограничения</w:t>
            </w:r>
          </w:p>
        </w:tc>
      </w:tr>
      <w:tr w:rsidR="00CF19FD" w:rsidRPr="00CF19FD" w14:paraId="26B1F367" w14:textId="77777777" w:rsidTr="00CF19FD">
        <w:tc>
          <w:tcPr>
            <w:tcW w:w="0" w:type="auto"/>
            <w:hideMark/>
          </w:tcPr>
          <w:p w14:paraId="379467D1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Q(t)</w:t>
            </w:r>
          </w:p>
        </w:tc>
        <w:tc>
          <w:tcPr>
            <w:tcW w:w="0" w:type="auto"/>
            <w:hideMark/>
          </w:tcPr>
          <w:p w14:paraId="535F90D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Интенсивность добычи</w:t>
            </w:r>
          </w:p>
        </w:tc>
        <w:tc>
          <w:tcPr>
            <w:tcW w:w="0" w:type="auto"/>
            <w:hideMark/>
          </w:tcPr>
          <w:p w14:paraId="14449918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добыча нефти относительно уровня базового года</w:t>
            </w:r>
          </w:p>
        </w:tc>
      </w:tr>
      <w:tr w:rsidR="00CF19FD" w:rsidRPr="00CF19FD" w14:paraId="0314B530" w14:textId="77777777" w:rsidTr="00CF19FD">
        <w:tc>
          <w:tcPr>
            <w:tcW w:w="0" w:type="auto"/>
            <w:hideMark/>
          </w:tcPr>
          <w:p w14:paraId="13D38D6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Z(t)</w:t>
            </w:r>
          </w:p>
        </w:tc>
        <w:tc>
          <w:tcPr>
            <w:tcW w:w="0" w:type="auto"/>
            <w:hideMark/>
          </w:tcPr>
          <w:p w14:paraId="35E4CA90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Природоохранные меры</w:t>
            </w:r>
          </w:p>
        </w:tc>
        <w:tc>
          <w:tcPr>
            <w:tcW w:w="0" w:type="auto"/>
            <w:hideMark/>
          </w:tcPr>
          <w:p w14:paraId="253BD2DA" w14:textId="77777777" w:rsidR="00CF19FD" w:rsidRPr="00CF19FD" w:rsidRDefault="00CF19FD" w:rsidP="00CF19FD">
            <w:pPr>
              <w:spacing w:after="210"/>
              <w:jc w:val="both"/>
              <w:rPr>
                <w:rFonts w:asciiTheme="majorHAnsi" w:hAnsiTheme="majorHAnsi" w:cstheme="majorHAnsi"/>
              </w:rPr>
            </w:pPr>
            <w:r w:rsidRPr="00CF19FD">
              <w:rPr>
                <w:rFonts w:asciiTheme="majorHAnsi" w:hAnsiTheme="majorHAnsi" w:cstheme="majorHAnsi"/>
              </w:rPr>
              <w:t>нормированный сценарный индекс природоохранной политики</w:t>
            </w:r>
          </w:p>
        </w:tc>
      </w:tr>
    </w:tbl>
    <w:p w14:paraId="2BF34071" w14:textId="77777777" w:rsidR="00CF19FD" w:rsidRPr="0012042A" w:rsidRDefault="00CF19FD" w:rsidP="00CF19FD">
      <w:pPr>
        <w:spacing w:after="210"/>
        <w:jc w:val="both"/>
        <w:rPr>
          <w:rFonts w:asciiTheme="majorHAnsi" w:hAnsiTheme="majorHAnsi" w:cstheme="majorHAnsi"/>
        </w:rPr>
      </w:pPr>
    </w:p>
    <w:p w14:paraId="2163BDFF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Предлагается следующая система дифференциальных уравнений:</w:t>
      </w:r>
    </w:p>
    <w:p w14:paraId="0A7C997C" w14:textId="04632C1D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  <w:lang w:val="en-US"/>
                    </w:rPr>
                    <m:t>[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[1-T(t)]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T(t)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#(4)</m:t>
              </m:r>
            </m:e>
          </m:eqArr>
        </m:oMath>
      </m:oMathPara>
    </w:p>
    <w:p w14:paraId="6918E636" w14:textId="03820573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dS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S(t)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#(5)</m:t>
              </m:r>
            </m:e>
          </m:eqArr>
        </m:oMath>
      </m:oMathPara>
    </w:p>
    <w:p w14:paraId="7B44A059" w14:textId="303078E0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dI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Theme="minorHAnsi" w:hAnsi="Cambria Math" w:cstheme="majorHAnsi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color w:val="000000"/>
                    </w:rPr>
                    <m:t>+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I(t)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#(6)</m:t>
              </m:r>
            </m:e>
          </m:eqArr>
        </m:oMath>
      </m:oMathPara>
    </w:p>
    <w:p w14:paraId="12C86468" w14:textId="4D663A9C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dE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[1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-E(t)]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+</m:t>
              </m:r>
              <m:r>
                <w:rPr>
                  <w:rFonts w:ascii="Cambria Math" w:hAnsi="Cambria Math" w:cstheme="majorHAnsi"/>
                  <w:color w:val="000000"/>
                </w:rPr>
                <m:t>ω</m:t>
              </m:r>
              <m: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).</m:t>
              </m:r>
              <m:r>
                <w:rPr>
                  <w:rFonts w:ascii="Cambria Math" w:hAnsi="Cambria Math" w:cstheme="majorHAnsi"/>
                  <w:color w:val="000000"/>
                </w:rPr>
                <m:t>#(7)</m:t>
              </m:r>
            </m:e>
          </m:eqArr>
        </m:oMath>
      </m:oMathPara>
    </w:p>
    <w:p w14:paraId="2CC096D1" w14:textId="0D4B0CB2" w:rsidR="00715F81" w:rsidRPr="00BC032C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В модели </w:t>
      </w:r>
      <m:oMath>
        <m:r>
          <w:rPr>
            <w:rFonts w:ascii="Cambria Math" w:hAnsi="Cambria Math" w:cstheme="majorHAnsi"/>
            <w:color w:val="000000"/>
          </w:rPr>
          <m:t>H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характеризует уровень человеческого капитала; </w:t>
      </w:r>
      <m:oMath>
        <m:r>
          <w:rPr>
            <w:rFonts w:ascii="Cambria Math" w:hAnsi="Cambria Math" w:cstheme="majorHAnsi"/>
            <w:color w:val="000000"/>
          </w:rPr>
          <m:t>Y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доходную и производственную результативность региональной экономики; </w:t>
      </w:r>
      <m:oMath>
        <m:r>
          <w:rPr>
            <w:rFonts w:ascii="Cambria Math" w:hAnsi="Cambria Math" w:cstheme="majorHAnsi"/>
            <w:color w:val="000000"/>
          </w:rPr>
          <m:t>P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интенсивность мер промышленной и инновационной политики; </w:t>
      </w:r>
      <m:oMath>
        <m:r>
          <w:rPr>
            <w:rFonts w:ascii="Cambria Math" w:hAnsi="Cambria Math" w:cstheme="majorHAnsi"/>
            <w:color w:val="000000"/>
          </w:rPr>
          <m:t>R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институциональные, инфраструктурные и финансовые ограничения; </w:t>
      </w:r>
      <m:oMath>
        <m:r>
          <w:rPr>
            <w:rFonts w:ascii="Cambria Math" w:hAnsi="Cambria Math" w:cstheme="majorHAnsi"/>
            <w:color w:val="000000"/>
          </w:rPr>
          <m:t>Q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интенсивность ресурсодобычи; </w:t>
      </w:r>
      <m:oMath>
        <m:r>
          <w:rPr>
            <w:rFonts w:ascii="Cambria Math" w:hAnsi="Cambria Math" w:cstheme="majorHAnsi"/>
            <w:color w:val="000000"/>
          </w:rPr>
          <m:t>Z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масштаб природоохранных и технологических мероприятий.</w:t>
      </w:r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</w:t>
      </w:r>
      <w:r w:rsidR="00BC032C">
        <w:rPr>
          <w:rFonts w:asciiTheme="majorHAnsi" w:eastAsia="source serif 4" w:hAnsiTheme="majorHAnsi" w:cstheme="majorHAnsi"/>
          <w:color w:val="000000"/>
        </w:rPr>
        <w:t>При этом, м</w:t>
      </w:r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ножители </w:t>
      </w:r>
      <m:oMath>
        <m:r>
          <w:rPr>
            <w:rFonts w:ascii="Cambria Math" w:eastAsia="source serif 4" w:hAnsi="Cambria Math" w:cstheme="majorHAnsi"/>
            <w:color w:val="000000"/>
          </w:rPr>
          <m:t>1-</m:t>
        </m:r>
        <m:r>
          <w:rPr>
            <w:rFonts w:ascii="Cambria Math" w:eastAsia="source serif 4" w:hAnsi="Cambria Math" w:cstheme="majorHAnsi"/>
            <w:color w:val="000000"/>
            <w:lang w:val="en-US"/>
          </w:rPr>
          <m:t>T</m:t>
        </m:r>
        <m:r>
          <w:rPr>
            <w:rFonts w:ascii="Cambria Math" w:eastAsia="source serif 4" w:hAnsi="Cambria Math" w:cstheme="majorHAnsi"/>
            <w:color w:val="000000"/>
          </w:rPr>
          <m:t>(</m:t>
        </m:r>
        <m:r>
          <w:rPr>
            <w:rFonts w:ascii="Cambria Math" w:eastAsia="source serif 4" w:hAnsi="Cambria Math" w:cstheme="majorHAnsi"/>
            <w:color w:val="000000"/>
            <w:lang w:val="en-US"/>
          </w:rPr>
          <m:t>t</m:t>
        </m:r>
        <m:r>
          <w:rPr>
            <w:rFonts w:ascii="Cambria Math" w:eastAsia="source serif 4" w:hAnsi="Cambria Math" w:cstheme="majorHAnsi"/>
            <w:color w:val="000000"/>
          </w:rPr>
          <m:t>),1</m:t>
        </m:r>
        <m:r>
          <w:rPr>
            <w:rFonts w:ascii="Cambria Math" w:eastAsia="source serif 4" w:hAnsi="Cambria Math" w:cstheme="majorHAnsi"/>
            <w:color w:val="000000"/>
          </w:rPr>
          <m:t>-</m:t>
        </m:r>
        <m:r>
          <w:rPr>
            <w:rFonts w:ascii="Cambria Math" w:eastAsia="source serif 4" w:hAnsi="Cambria Math" w:cstheme="majorHAnsi"/>
            <w:color w:val="000000"/>
          </w:rPr>
          <m:t>S</m:t>
        </m:r>
        <m:r>
          <w:rPr>
            <w:rFonts w:ascii="Cambria Math" w:eastAsia="source serif 4" w:hAnsi="Cambria Math" w:cstheme="majorHAnsi"/>
            <w:color w:val="000000"/>
          </w:rPr>
          <m:t>(t)</m:t>
        </m:r>
        <m:r>
          <w:rPr>
            <w:rFonts w:ascii="Cambria Math" w:eastAsia="source serif 4" w:hAnsi="Cambria Math" w:cstheme="majorHAnsi"/>
            <w:color w:val="000000"/>
          </w:rPr>
          <m:t>,1</m:t>
        </m:r>
        <m:r>
          <w:rPr>
            <w:rFonts w:ascii="Cambria Math" w:eastAsia="source serif 4" w:hAnsi="Cambria Math" w:cstheme="majorHAnsi"/>
            <w:color w:val="000000"/>
          </w:rPr>
          <m:t>-</m:t>
        </m:r>
        <m:r>
          <w:rPr>
            <w:rFonts w:ascii="Cambria Math" w:eastAsia="source serif 4" w:hAnsi="Cambria Math" w:cstheme="majorHAnsi"/>
            <w:color w:val="000000"/>
          </w:rPr>
          <m:t>I</m:t>
        </m:r>
        <m:r>
          <w:rPr>
            <w:rFonts w:ascii="Cambria Math" w:eastAsia="source serif 4" w:hAnsi="Cambria Math" w:cstheme="majorHAnsi"/>
            <w:color w:val="000000"/>
          </w:rPr>
          <m:t>(t</m:t>
        </m:r>
        <m:r>
          <w:rPr>
            <w:rFonts w:ascii="Cambria Math" w:eastAsia="source serif 4" w:hAnsi="Cambria Math" w:cstheme="majorHAnsi"/>
            <w:color w:val="000000"/>
          </w:rPr>
          <m:t>) и 1</m:t>
        </m:r>
        <m:r>
          <w:rPr>
            <w:rFonts w:ascii="Cambria Math" w:eastAsia="source serif 4" w:hAnsi="Cambria Math" w:cstheme="majorHAnsi"/>
            <w:color w:val="000000"/>
          </w:rPr>
          <m:t>-</m:t>
        </m:r>
        <m:r>
          <w:rPr>
            <w:rFonts w:ascii="Cambria Math" w:eastAsia="source serif 4" w:hAnsi="Cambria Math" w:cstheme="majorHAnsi"/>
            <w:color w:val="000000"/>
          </w:rPr>
          <m:t>E</m:t>
        </m:r>
        <m:r>
          <w:rPr>
            <w:rFonts w:ascii="Cambria Math" w:eastAsia="source serif 4" w:hAnsi="Cambria Math" w:cstheme="majorHAnsi"/>
            <w:color w:val="000000"/>
          </w:rPr>
          <m:t>(t</m:t>
        </m:r>
        <m:r>
          <w:rPr>
            <w:rFonts w:ascii="Cambria Math" w:eastAsia="source serif 4" w:hAnsi="Cambria Math" w:cstheme="majorHAnsi"/>
            <w:color w:val="000000"/>
          </w:rPr>
          <m:t>)</m:t>
        </m:r>
      </m:oMath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отражают эффект насыщения. По мере приближения соответствующего индекса к единице потенциал его дальнейшего прироста уменьшается. Отрицательные воздействия заданы пропорционально текущему состоянию. При неотрицательных параметрах и исходных значениях из интервала </w:t>
      </w:r>
      <m:oMath>
        <m:r>
          <w:rPr>
            <w:rFonts w:ascii="Cambria Math" w:eastAsia="source serif 4" w:hAnsi="Cambria Math" w:cstheme="majorHAnsi"/>
            <w:color w:val="000000"/>
          </w:rPr>
          <m:t>[0,1]</m:t>
        </m:r>
      </m:oMath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такая структура препятствует выходу переменных за содержательно допустимые границы.</w:t>
      </w:r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</w:t>
      </w:r>
      <m:oMath>
        <m:r>
          <w:rPr>
            <w:rFonts w:ascii="Cambria Math" w:eastAsia="source serif 4" w:hAnsi="Cambria Math" w:cstheme="majorHAnsi"/>
            <w:color w:val="000000"/>
          </w:rPr>
          <m:t>M(t)</m:t>
        </m:r>
      </m:oMath>
      <w:r w:rsidR="00BC032C" w:rsidRPr="00BC032C">
        <w:rPr>
          <w:rFonts w:asciiTheme="majorHAnsi" w:eastAsia="source serif 4" w:hAnsiTheme="majorHAnsi" w:cstheme="majorHAnsi"/>
          <w:color w:val="000000"/>
        </w:rPr>
        <w:t xml:space="preserve"> — внешний макроэкономический импульс, характеризующий общую экономическую конъюнктуру и не включённый непосредственно в состав индекса </w:t>
      </w:r>
      <m:oMath>
        <m:r>
          <w:rPr>
            <w:rFonts w:ascii="Cambria Math" w:eastAsia="source serif 4" w:hAnsi="Cambria Math" w:cstheme="majorHAnsi"/>
            <w:color w:val="000000"/>
          </w:rPr>
          <m:t>S(t)</m:t>
        </m:r>
      </m:oMath>
    </w:p>
    <w:p w14:paraId="736689C5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Параметры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отражают положительные связи между компонентами системы. Параметры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характеризуют естественное затухание эффекта, технологическое старение, выбытие фондов и необходимость постоянного воспроизводства ресурсов. Коэффициенты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выражают отрицательное влияние экологической нагрузки на технологическое и социально-экономическое развитие. Коэффициенты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1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color w:val="000000"/>
              </w:rPr>
              <m:t>2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 </w:t>
      </w:r>
      <m:oMath>
        <m:r>
          <w:rPr>
            <w:rFonts w:ascii="Cambria Math" w:hAnsi="Cambria Math" w:cstheme="majorHAnsi"/>
            <w:color w:val="000000"/>
          </w:rPr>
          <m:t>ω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описывают соответственно прирост нагрузки вследствие добычи, ее снижение под влиянием природоохранных мер и естественное восстановление природной среды.</w:t>
      </w:r>
    </w:p>
    <w:p w14:paraId="3FC02D19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Содержательно уравнение (4) означает, что технологический потенциал возрастает при росте инновационных инвестиций и человеческого капитала, но снижается под действием технологического устаревания и экологических ограничений. Уравнение (5) показывает влияние технологического развития и экономической результативности на социально-экономический потенциал. Уравнение (6) описывает зависимость инвестиционно-инновационной активности от качества промышленной политики и состояния региональной социально-экономической среды. Уравнение (7) учитывает экологические последствия 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ресурсодобычи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и компенсирующее действие природоохранных мероприятий.</w:t>
      </w:r>
    </w:p>
    <w:p w14:paraId="4A8EEC87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получения сводной оценки может быть введен индекс сбалансированного устойчивого развития:</w:t>
      </w:r>
    </w:p>
    <w:p w14:paraId="6814C5B7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S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E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),</m:t>
              </m:r>
              <m:r>
                <w:rPr>
                  <w:rFonts w:ascii="Cambria Math" w:hAnsi="Cambria Math" w:cstheme="majorHAnsi"/>
                  <w:color w:val="000000"/>
                </w:rPr>
                <m:t>#(8)</m:t>
              </m:r>
            </m:e>
          </m:eqArr>
        </m:oMath>
      </m:oMathPara>
    </w:p>
    <w:p w14:paraId="7FF1F30A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HAnsi"/>
            <w:color w:val="000000"/>
          </w:rPr>
          <m:t>,</m:t>
        </m:r>
        <m:sSub>
          <m:sSubPr>
            <m:ctrlPr>
              <w:rPr>
                <w:rFonts w:ascii="Cambria Math" w:hAnsi="Cambria Math" w:cstheme="majorHAnsi"/>
                <w:color w:val="000000"/>
              </w:rPr>
            </m:ctrlPr>
          </m:sSubPr>
          <m:e>
            <m:r>
              <w:rPr>
                <w:rFonts w:ascii="Cambria Math" w:hAnsi="Cambria Math" w:cstheme="majorHAnsi"/>
                <w:color w:val="000000"/>
              </w:rPr>
              <m:t>λ</m:t>
            </m:r>
          </m:e>
          <m:sub>
            <m:r>
              <w:rPr>
                <w:rFonts w:ascii="Cambria Math" w:hAnsi="Cambria Math" w:cstheme="majorHAnsi"/>
                <w:color w:val="000000"/>
              </w:rPr>
              <m:t>E</m:t>
            </m:r>
          </m:sub>
        </m:sSub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— весовые коэффициенты, отражающие приоритетность технологической, социальной, инвестиционной и экологической компонент. Использование индекса </w:t>
      </w:r>
      <m:oMath>
        <m:r>
          <w:rPr>
            <w:rFonts w:ascii="Cambria Math" w:hAnsi="Cambria Math" w:cstheme="majorHAnsi"/>
            <w:color w:val="000000"/>
          </w:rPr>
          <m:t>U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не заменяет анализа отдельных состояний системы, но дает возможность сопоставлять сценарии по единому критерию.</w:t>
      </w:r>
    </w:p>
    <w:p w14:paraId="0005C69D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5" w:name="параметризация_и_данные"/>
      <w:r w:rsidRPr="0012042A">
        <w:rPr>
          <w:rFonts w:asciiTheme="majorHAnsi" w:eastAsia="source serif 4" w:hAnsiTheme="majorHAnsi" w:cstheme="majorHAnsi"/>
          <w:b/>
          <w:color w:val="000000"/>
        </w:rPr>
        <w:t>Параметризация и данные</w:t>
      </w:r>
      <w:bookmarkEnd w:id="5"/>
    </w:p>
    <w:p w14:paraId="78A131CD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Источником исходной информации для модели могут выступать официальные данные Росстата и его территориального органа, сведения Единой межведомственной информационно-статистической системы, данные Роспатента, Министерства науки и высшего образования Российской Федерации, органов государственной власти ХМАО–Югры и отраслевых компаний. Для обеспечения сопоставимости целесообразно использовать годовые ряды за период не менее 10–15 лет.</w:t>
      </w:r>
    </w:p>
    <w:p w14:paraId="5B006B3A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Значения параметров модели могут быть определены двумя способами. Первый способ предполагает калибровку параметров путем минимизации расхождения между расчетными траекториями и наблюдаемыми значениями интегральных индексов. Второй способ применим при недостаточности временных рядов и основан на экспертном задании диапазонов параметров с последующим анализом чувствительности. В конференционной статье рационально использовать смешанный подход: для части параметров применить статистическую калибровку, а для параметров, характеризующих силу мер промышленной политики и экологических мероприятий, сформировать сценарные значения.</w:t>
      </w:r>
    </w:p>
    <w:p w14:paraId="3A1E6B1C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При численном решении должны быть заданы начальные условия:</w:t>
      </w:r>
    </w:p>
    <w:p w14:paraId="3BFFDF3F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#(9)</m:t>
              </m:r>
            </m:e>
          </m:eqArr>
        </m:oMath>
      </m:oMathPara>
    </w:p>
    <w:p w14:paraId="62245810" w14:textId="77777777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  <w:lang w:val="en-US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Начальные значения определяются по последнему доступному году наблюдений. Решение системы (4)–(7) выполняется численно в программной среде Python с применением функции </w:t>
      </w:r>
      <w:proofErr w:type="spellStart"/>
      <w:r w:rsidRPr="0012042A">
        <w:rPr>
          <w:rStyle w:val="VerbatimChar"/>
          <w:rFonts w:asciiTheme="majorHAnsi" w:eastAsia="menlo" w:hAnsiTheme="majorHAnsi" w:cstheme="majorHAnsi"/>
          <w:color w:val="000000"/>
          <w:sz w:val="24"/>
          <w:shd w:val="clear" w:color="auto" w:fill="F8F8FA"/>
        </w:rPr>
        <w:t>solve_ivp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библиотеки </w:t>
      </w:r>
      <w:proofErr w:type="spellStart"/>
      <w:proofErr w:type="gramStart"/>
      <w:r w:rsidRPr="0012042A">
        <w:rPr>
          <w:rStyle w:val="VerbatimChar"/>
          <w:rFonts w:asciiTheme="majorHAnsi" w:eastAsia="menlo" w:hAnsiTheme="majorHAnsi" w:cstheme="majorHAnsi"/>
          <w:color w:val="000000"/>
          <w:sz w:val="24"/>
          <w:shd w:val="clear" w:color="auto" w:fill="F8F8FA"/>
        </w:rPr>
        <w:t>scipy.integrate</w:t>
      </w:r>
      <w:proofErr w:type="spellEnd"/>
      <w:proofErr w:type="gramEnd"/>
      <w:r w:rsidRPr="0012042A">
        <w:rPr>
          <w:rFonts w:asciiTheme="majorHAnsi" w:eastAsia="source serif 4" w:hAnsiTheme="majorHAnsi" w:cstheme="majorHAnsi"/>
          <w:color w:val="000000"/>
        </w:rPr>
        <w:t>. Техническая реализация приведена в приложении А.</w:t>
      </w:r>
    </w:p>
    <w:p w14:paraId="588C334E" w14:textId="2E7BBA81" w:rsidR="00AC4073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>Единицей модельного времени принят один календарный год. Начальное состояние соответствует 2024 году, горизонт сценарного прогнозирования — 2030 году. Для визуализации численное решение выводится с месячным шагом, однако сценарные предпосылки задаются на годовой шкале.</w:t>
      </w:r>
      <w:r w:rsidRPr="00AC4073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Дополнительно отметим, что </w:t>
      </w:r>
      <w:r w:rsidRPr="00AC4073">
        <w:rPr>
          <w:rFonts w:asciiTheme="majorHAnsi" w:hAnsiTheme="majorHAnsi" w:cstheme="majorHAnsi"/>
        </w:rPr>
        <w:t>внешн</w:t>
      </w:r>
      <w:r>
        <w:rPr>
          <w:rFonts w:asciiTheme="majorHAnsi" w:hAnsiTheme="majorHAnsi" w:cstheme="majorHAnsi"/>
        </w:rPr>
        <w:t>ие воздействия линейно интерполируются по годам, а коэффициенты естественного затухания представлены через периоды полураспада.</w:t>
      </w:r>
    </w:p>
    <w:p w14:paraId="58FB7862" w14:textId="6C679497" w:rsidR="00AC4073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>Для интенсивности добычи уровень 2024 года принят равным единице. К 2030 году в базовой траектории предполагается снижение индекса до 0,90. Направление изменения согласуется с наблюдаемой динамикой зрелого нефтедобывающего региона: в официальных документах приводятся значения добычи 223,1 млн тонн в 2022 году, 216,0 млн тонн в 2023 году и последующее снижение прогнозной оценки. Значение 0,90 в 2030 году является модельной экстраполяцией, а не официальным точечным прогнозом.</w:t>
      </w:r>
    </w:p>
    <w:p w14:paraId="3E36DF7E" w14:textId="1C6613B4" w:rsidR="00AC4073" w:rsidRPr="00AC4073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>Начальное значение индекса промышленной и инновационной политики принято равным 0,30. Умеренный базовый уровень выбран с учётом того, что затраты на инновации организаций Югры снизились со 133,0 млрд рублей в 2020 году до 35,7 млрд рублей в 2024 году, а технологические инновации в 2024 году осуществляли 9,5% обследованных организаций. Повышение индекса до 0,55 в технологическом сценарии представляет целевое управленческое воздействие, а не продолжение наблюдавшегося тренда.</w:t>
      </w:r>
    </w:p>
    <w:p w14:paraId="27535866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bookmarkStart w:id="6" w:name="сценарии_развития"/>
      <w:r w:rsidRPr="0012042A">
        <w:rPr>
          <w:rFonts w:asciiTheme="majorHAnsi" w:eastAsia="source serif 4" w:hAnsiTheme="majorHAnsi" w:cstheme="majorHAnsi"/>
          <w:b/>
          <w:color w:val="000000"/>
        </w:rPr>
        <w:t>Сценарии развития</w:t>
      </w:r>
      <w:bookmarkEnd w:id="6"/>
    </w:p>
    <w:p w14:paraId="4372FAD3" w14:textId="3D0DB94A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Для оценки последствий промышленной политики предлагается рассмотреть </w:t>
      </w:r>
      <w:r w:rsidR="00AC4073">
        <w:rPr>
          <w:rFonts w:asciiTheme="majorHAnsi" w:eastAsia="source serif 4" w:hAnsiTheme="majorHAnsi" w:cstheme="majorHAnsi"/>
          <w:color w:val="000000"/>
        </w:rPr>
        <w:t>четыре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сценария.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75"/>
        <w:gridCol w:w="1421"/>
        <w:gridCol w:w="2122"/>
        <w:gridCol w:w="1901"/>
        <w:gridCol w:w="2309"/>
      </w:tblGrid>
      <w:tr w:rsidR="00AC4073" w:rsidRPr="00AC4073" w14:paraId="615CC763" w14:textId="77777777" w:rsidTr="00AC4073">
        <w:tc>
          <w:tcPr>
            <w:tcW w:w="974" w:type="pct"/>
            <w:hideMark/>
          </w:tcPr>
          <w:p w14:paraId="68C36CFC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738" w:type="pct"/>
            <w:hideMark/>
          </w:tcPr>
          <w:p w14:paraId="2C38F0E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Базовый</w:t>
            </w:r>
          </w:p>
        </w:tc>
        <w:tc>
          <w:tcPr>
            <w:tcW w:w="1102" w:type="pct"/>
            <w:hideMark/>
          </w:tcPr>
          <w:p w14:paraId="1F7F140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Технологический</w:t>
            </w:r>
          </w:p>
        </w:tc>
        <w:tc>
          <w:tcPr>
            <w:tcW w:w="987" w:type="pct"/>
            <w:hideMark/>
          </w:tcPr>
          <w:p w14:paraId="6930344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Экологический</w:t>
            </w:r>
          </w:p>
        </w:tc>
        <w:tc>
          <w:tcPr>
            <w:tcW w:w="1199" w:type="pct"/>
            <w:hideMark/>
          </w:tcPr>
          <w:p w14:paraId="79523233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Комбинированный</w:t>
            </w:r>
          </w:p>
        </w:tc>
      </w:tr>
      <w:tr w:rsidR="00AC4073" w:rsidRPr="00AC4073" w14:paraId="19BD462C" w14:textId="77777777" w:rsidTr="00AC4073">
        <w:tc>
          <w:tcPr>
            <w:tcW w:w="974" w:type="pct"/>
            <w:hideMark/>
          </w:tcPr>
          <w:p w14:paraId="3F59FA5B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H: 2024 → 2030</w:t>
            </w:r>
          </w:p>
        </w:tc>
        <w:tc>
          <w:tcPr>
            <w:tcW w:w="738" w:type="pct"/>
            <w:hideMark/>
          </w:tcPr>
          <w:p w14:paraId="79E6434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1102" w:type="pct"/>
            <w:hideMark/>
          </w:tcPr>
          <w:p w14:paraId="11B01346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987" w:type="pct"/>
            <w:hideMark/>
          </w:tcPr>
          <w:p w14:paraId="2AE0307C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1199" w:type="pct"/>
            <w:hideMark/>
          </w:tcPr>
          <w:p w14:paraId="75B0C68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</w:tr>
      <w:tr w:rsidR="00AC4073" w:rsidRPr="00AC4073" w14:paraId="4E8387C3" w14:textId="77777777" w:rsidTr="00AC4073">
        <w:tc>
          <w:tcPr>
            <w:tcW w:w="974" w:type="pct"/>
            <w:hideMark/>
          </w:tcPr>
          <w:p w14:paraId="0D39B5B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M: 2024 → 2030</w:t>
            </w:r>
          </w:p>
        </w:tc>
        <w:tc>
          <w:tcPr>
            <w:tcW w:w="738" w:type="pct"/>
            <w:hideMark/>
          </w:tcPr>
          <w:p w14:paraId="79FCFC01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1102" w:type="pct"/>
            <w:hideMark/>
          </w:tcPr>
          <w:p w14:paraId="795C99FC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987" w:type="pct"/>
            <w:hideMark/>
          </w:tcPr>
          <w:p w14:paraId="708C60D7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1199" w:type="pct"/>
            <w:hideMark/>
          </w:tcPr>
          <w:p w14:paraId="546C0187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</w:tr>
      <w:tr w:rsidR="00AC4073" w:rsidRPr="00AC4073" w14:paraId="4945F46B" w14:textId="77777777" w:rsidTr="00AC4073">
        <w:tc>
          <w:tcPr>
            <w:tcW w:w="974" w:type="pct"/>
            <w:hideMark/>
          </w:tcPr>
          <w:p w14:paraId="26FC1703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P: 2024 → 2030</w:t>
            </w:r>
          </w:p>
        </w:tc>
        <w:tc>
          <w:tcPr>
            <w:tcW w:w="738" w:type="pct"/>
            <w:hideMark/>
          </w:tcPr>
          <w:p w14:paraId="300B996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0,34</w:t>
            </w:r>
          </w:p>
        </w:tc>
        <w:tc>
          <w:tcPr>
            <w:tcW w:w="1102" w:type="pct"/>
            <w:hideMark/>
          </w:tcPr>
          <w:p w14:paraId="48088039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0,55</w:t>
            </w:r>
          </w:p>
        </w:tc>
        <w:tc>
          <w:tcPr>
            <w:tcW w:w="987" w:type="pct"/>
            <w:hideMark/>
          </w:tcPr>
          <w:p w14:paraId="092BDDF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0,34</w:t>
            </w:r>
          </w:p>
        </w:tc>
        <w:tc>
          <w:tcPr>
            <w:tcW w:w="1199" w:type="pct"/>
            <w:hideMark/>
          </w:tcPr>
          <w:p w14:paraId="72EEABE9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0,55</w:t>
            </w:r>
          </w:p>
        </w:tc>
      </w:tr>
      <w:tr w:rsidR="00AC4073" w:rsidRPr="00AC4073" w14:paraId="7AE54F0E" w14:textId="77777777" w:rsidTr="00AC4073">
        <w:tc>
          <w:tcPr>
            <w:tcW w:w="974" w:type="pct"/>
            <w:hideMark/>
          </w:tcPr>
          <w:p w14:paraId="1BBE8092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R: 2024 → 2030</w:t>
            </w:r>
          </w:p>
        </w:tc>
        <w:tc>
          <w:tcPr>
            <w:tcW w:w="738" w:type="pct"/>
            <w:hideMark/>
          </w:tcPr>
          <w:p w14:paraId="76571064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1102" w:type="pct"/>
            <w:hideMark/>
          </w:tcPr>
          <w:p w14:paraId="051CC4BE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987" w:type="pct"/>
            <w:hideMark/>
          </w:tcPr>
          <w:p w14:paraId="3BB45C9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1199" w:type="pct"/>
            <w:hideMark/>
          </w:tcPr>
          <w:p w14:paraId="115166E6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</w:tr>
      <w:tr w:rsidR="00AC4073" w:rsidRPr="00AC4073" w14:paraId="458BA74F" w14:textId="77777777" w:rsidTr="00AC4073">
        <w:tc>
          <w:tcPr>
            <w:tcW w:w="974" w:type="pct"/>
            <w:hideMark/>
          </w:tcPr>
          <w:p w14:paraId="4A16D38E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Q: 2024 → 2030</w:t>
            </w:r>
          </w:p>
        </w:tc>
        <w:tc>
          <w:tcPr>
            <w:tcW w:w="738" w:type="pct"/>
            <w:hideMark/>
          </w:tcPr>
          <w:p w14:paraId="68BED802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1102" w:type="pct"/>
            <w:hideMark/>
          </w:tcPr>
          <w:p w14:paraId="7C71B45E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987" w:type="pct"/>
            <w:hideMark/>
          </w:tcPr>
          <w:p w14:paraId="31216CB7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1199" w:type="pct"/>
            <w:hideMark/>
          </w:tcPr>
          <w:p w14:paraId="6A5477F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</w:tr>
      <w:tr w:rsidR="00AC4073" w:rsidRPr="00AC4073" w14:paraId="7BA30321" w14:textId="77777777" w:rsidTr="00AC4073">
        <w:tc>
          <w:tcPr>
            <w:tcW w:w="974" w:type="pct"/>
            <w:hideMark/>
          </w:tcPr>
          <w:p w14:paraId="199E5459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Z: 2024 → 2030</w:t>
            </w:r>
          </w:p>
        </w:tc>
        <w:tc>
          <w:tcPr>
            <w:tcW w:w="738" w:type="pct"/>
            <w:hideMark/>
          </w:tcPr>
          <w:p w14:paraId="6A169B38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0,42</w:t>
            </w:r>
          </w:p>
        </w:tc>
        <w:tc>
          <w:tcPr>
            <w:tcW w:w="1102" w:type="pct"/>
            <w:hideMark/>
          </w:tcPr>
          <w:p w14:paraId="004D98BA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0,42</w:t>
            </w:r>
          </w:p>
        </w:tc>
        <w:tc>
          <w:tcPr>
            <w:tcW w:w="987" w:type="pct"/>
            <w:hideMark/>
          </w:tcPr>
          <w:p w14:paraId="3BE8C1D5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0,65</w:t>
            </w:r>
          </w:p>
        </w:tc>
        <w:tc>
          <w:tcPr>
            <w:tcW w:w="1199" w:type="pct"/>
            <w:hideMark/>
          </w:tcPr>
          <w:p w14:paraId="6B60CCF0" w14:textId="77777777" w:rsidR="00AC4073" w:rsidRPr="00AC4073" w:rsidRDefault="00AC4073" w:rsidP="00AC4073">
            <w:pPr>
              <w:spacing w:after="21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0,65</w:t>
            </w:r>
          </w:p>
        </w:tc>
      </w:tr>
    </w:tbl>
    <w:p w14:paraId="19BED168" w14:textId="77777777" w:rsidR="00AC4073" w:rsidRPr="0012042A" w:rsidRDefault="00AC4073" w:rsidP="00AC4073">
      <w:pPr>
        <w:spacing w:after="210"/>
        <w:jc w:val="both"/>
        <w:rPr>
          <w:rFonts w:asciiTheme="majorHAnsi" w:hAnsiTheme="majorHAnsi" w:cstheme="majorHAnsi"/>
        </w:rPr>
      </w:pPr>
    </w:p>
    <w:p w14:paraId="4F48EAF2" w14:textId="77777777" w:rsidR="00292069" w:rsidRDefault="00292069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292069">
        <w:rPr>
          <w:rFonts w:asciiTheme="majorHAnsi" w:hAnsiTheme="majorHAnsi" w:cstheme="majorHAnsi"/>
        </w:rPr>
        <w:t>Значения человеческого капитала, макроэкономического импульса, институциональных ограничений и добычи одинаковы во всех сценариях. Поэтому различия результатов можно связывать непосредственно с технологическими и природоохранными воздействиями, а не с одновременным улучшением всех предпосылок.</w:t>
      </w:r>
    </w:p>
    <w:p w14:paraId="335754BA" w14:textId="082B0AC5" w:rsidR="00715F81" w:rsidRDefault="00AC4073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t xml:space="preserve">Технологический сценарий </w:t>
      </w:r>
      <w:r w:rsidR="00292069">
        <w:rPr>
          <w:rFonts w:asciiTheme="majorHAnsi" w:hAnsiTheme="majorHAnsi" w:cstheme="majorHAnsi"/>
        </w:rPr>
        <w:t xml:space="preserve">(см. рис.1 и 2, а также таблицу 1 здесь и далее), </w:t>
      </w:r>
      <w:r w:rsidRPr="00AC4073">
        <w:rPr>
          <w:rFonts w:asciiTheme="majorHAnsi" w:hAnsiTheme="majorHAnsi" w:cstheme="majorHAnsi"/>
        </w:rPr>
        <w:t xml:space="preserve">преимущественно увеличивает инвестиционно-инновационную активность: значение </w:t>
      </w:r>
      <m:oMath>
        <m:r>
          <w:rPr>
            <w:rFonts w:ascii="Cambria Math" w:hAnsi="Cambria Math" w:cstheme="majorHAnsi"/>
          </w:rPr>
          <m:t>I(2030)</m:t>
        </m:r>
      </m:oMath>
      <w:r w:rsidRPr="00AC4073">
        <w:rPr>
          <w:rFonts w:asciiTheme="majorHAnsi" w:hAnsiTheme="majorHAnsi" w:cstheme="majorHAnsi"/>
        </w:rPr>
        <w:t xml:space="preserve"> возрастает с 0,548 до 0,594. Экологический сценарий снижает нагрузку</w:t>
      </w:r>
      <m:oMath>
        <m:r>
          <w:rPr>
            <w:rFonts w:ascii="Cambria Math" w:hAnsi="Cambria Math" w:cstheme="majorHAnsi"/>
          </w:rPr>
          <m:t xml:space="preserve"> E(2030)</m:t>
        </m:r>
      </m:oMath>
      <w:r w:rsidRPr="00AC4073">
        <w:rPr>
          <w:rFonts w:asciiTheme="majorHAnsi" w:hAnsiTheme="majorHAnsi" w:cstheme="majorHAnsi"/>
        </w:rPr>
        <w:t xml:space="preserve"> с 0,520 до 0,470. Комбинированный сценарий объединяет оба эффекта и обеспечивает наибольшее значение сводного индекса — 0,447. Преимущество над базовым сценарием составляет 0,024 пункта, поэтому различия следует интерпретировать как умеренные.</w:t>
      </w:r>
    </w:p>
    <w:p w14:paraId="4186C37E" w14:textId="49AB4748" w:rsidR="00AC4073" w:rsidRDefault="00AC4073" w:rsidP="00AC4073">
      <w:pPr>
        <w:spacing w:after="210"/>
        <w:jc w:val="both"/>
        <w:rPr>
          <w:rFonts w:asciiTheme="majorHAnsi" w:hAnsiTheme="majorHAnsi" w:cstheme="majorHAnsi"/>
        </w:rPr>
      </w:pPr>
      <w:r w:rsidRPr="00AC4073">
        <w:rPr>
          <w:rFonts w:asciiTheme="majorHAnsi" w:hAnsiTheme="majorHAnsi" w:cstheme="majorHAnsi"/>
        </w:rPr>
        <w:drawing>
          <wp:inline distT="0" distB="0" distL="0" distR="0" wp14:anchorId="4ADA68B3" wp14:editId="39EADAE3">
            <wp:extent cx="6120130" cy="40551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081B" w14:textId="3246F5D2" w:rsidR="00AC4073" w:rsidRPr="00292069" w:rsidRDefault="00AC4073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Рис. 1 </w:t>
      </w:r>
      <w:r w:rsidR="00292069">
        <w:rPr>
          <w:rFonts w:asciiTheme="majorHAnsi" w:hAnsiTheme="majorHAnsi" w:cstheme="majorHAnsi"/>
          <w:sz w:val="22"/>
        </w:rPr>
        <w:t xml:space="preserve">Потенциалы (рассчитано автором путем численного интегрирования уравнений (4-7) в </w:t>
      </w:r>
      <w:r w:rsidR="00292069">
        <w:rPr>
          <w:rFonts w:asciiTheme="majorHAnsi" w:hAnsiTheme="majorHAnsi" w:cstheme="majorHAnsi"/>
          <w:sz w:val="22"/>
          <w:lang w:val="en-US"/>
        </w:rPr>
        <w:t>Python</w:t>
      </w:r>
      <w:r w:rsidR="00292069">
        <w:rPr>
          <w:rFonts w:asciiTheme="majorHAnsi" w:hAnsiTheme="majorHAnsi" w:cstheme="majorHAnsi"/>
          <w:sz w:val="22"/>
        </w:rPr>
        <w:t>)</w:t>
      </w:r>
    </w:p>
    <w:p w14:paraId="71FA9927" w14:textId="5687FF1E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 w:rsidRPr="00292069">
        <w:rPr>
          <w:rFonts w:asciiTheme="majorHAnsi" w:hAnsiTheme="majorHAnsi" w:cstheme="majorHAnsi"/>
          <w:sz w:val="22"/>
        </w:rPr>
        <w:drawing>
          <wp:inline distT="0" distB="0" distL="0" distR="0" wp14:anchorId="3A53046E" wp14:editId="305E75CE">
            <wp:extent cx="6120130" cy="3784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1E55" w14:textId="26F34991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Рис. 2 Интегральный индекс (</w:t>
      </w:r>
      <w:r>
        <w:rPr>
          <w:rFonts w:asciiTheme="majorHAnsi" w:hAnsiTheme="majorHAnsi" w:cstheme="majorHAnsi"/>
          <w:sz w:val="22"/>
        </w:rPr>
        <w:t xml:space="preserve">рассчитано автором путем численного интегрирования уравнений (4-7) в </w:t>
      </w:r>
      <w:r>
        <w:rPr>
          <w:rFonts w:asciiTheme="majorHAnsi" w:hAnsiTheme="majorHAnsi" w:cstheme="majorHAnsi"/>
          <w:sz w:val="22"/>
          <w:lang w:val="en-US"/>
        </w:rPr>
        <w:t>Python</w:t>
      </w:r>
      <w:r>
        <w:rPr>
          <w:rFonts w:asciiTheme="majorHAnsi" w:hAnsiTheme="majorHAnsi" w:cstheme="majorHAnsi"/>
          <w:sz w:val="22"/>
        </w:rPr>
        <w:t>)</w:t>
      </w:r>
    </w:p>
    <w:p w14:paraId="3EBA6F58" w14:textId="5A71176C" w:rsidR="00292069" w:rsidRDefault="00292069" w:rsidP="00292069">
      <w:pPr>
        <w:keepNext/>
        <w:spacing w:after="210"/>
        <w:ind w:left="720" w:hanging="720"/>
        <w:jc w:val="right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Таблица 1</w:t>
      </w:r>
    </w:p>
    <w:p w14:paraId="6FD46642" w14:textId="107823D5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Результаты сценарного моделирования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78"/>
        <w:gridCol w:w="1086"/>
        <w:gridCol w:w="1059"/>
        <w:gridCol w:w="1019"/>
        <w:gridCol w:w="1086"/>
        <w:gridCol w:w="1100"/>
      </w:tblGrid>
      <w:tr w:rsidR="00292069" w:rsidRPr="00292069" w14:paraId="0CB0F5D7" w14:textId="77777777" w:rsidTr="00292069">
        <w:tc>
          <w:tcPr>
            <w:tcW w:w="2222" w:type="pct"/>
            <w:hideMark/>
          </w:tcPr>
          <w:p w14:paraId="28453E45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564" w:type="pct"/>
            <w:hideMark/>
          </w:tcPr>
          <w:p w14:paraId="0372A78D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T(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50" w:type="pct"/>
            <w:hideMark/>
          </w:tcPr>
          <w:p w14:paraId="60926E77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S(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29" w:type="pct"/>
            <w:hideMark/>
          </w:tcPr>
          <w:p w14:paraId="6CA4A571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I(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64" w:type="pct"/>
            <w:hideMark/>
          </w:tcPr>
          <w:p w14:paraId="036BD491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E(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71" w:type="pct"/>
            <w:hideMark/>
          </w:tcPr>
          <w:p w14:paraId="5AC68389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U(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</w:tr>
      <w:tr w:rsidR="00292069" w:rsidRPr="00292069" w14:paraId="71E8B80C" w14:textId="77777777" w:rsidTr="00292069">
        <w:tc>
          <w:tcPr>
            <w:tcW w:w="2222" w:type="pct"/>
            <w:hideMark/>
          </w:tcPr>
          <w:p w14:paraId="7BD3EF20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Базовый</w:t>
            </w:r>
          </w:p>
        </w:tc>
        <w:tc>
          <w:tcPr>
            <w:tcW w:w="564" w:type="pct"/>
            <w:hideMark/>
          </w:tcPr>
          <w:p w14:paraId="0C899D6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0,682</w:t>
            </w:r>
          </w:p>
        </w:tc>
        <w:tc>
          <w:tcPr>
            <w:tcW w:w="550" w:type="pct"/>
            <w:hideMark/>
          </w:tcPr>
          <w:p w14:paraId="16685F2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0,711</w:t>
            </w:r>
          </w:p>
        </w:tc>
        <w:tc>
          <w:tcPr>
            <w:tcW w:w="529" w:type="pct"/>
            <w:hideMark/>
          </w:tcPr>
          <w:p w14:paraId="3D16E96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0,548</w:t>
            </w:r>
          </w:p>
        </w:tc>
        <w:tc>
          <w:tcPr>
            <w:tcW w:w="564" w:type="pct"/>
            <w:hideMark/>
          </w:tcPr>
          <w:p w14:paraId="330501E4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0,520</w:t>
            </w:r>
          </w:p>
        </w:tc>
        <w:tc>
          <w:tcPr>
            <w:tcW w:w="571" w:type="pct"/>
            <w:hideMark/>
          </w:tcPr>
          <w:p w14:paraId="622649C3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0,423</w:t>
            </w:r>
          </w:p>
        </w:tc>
      </w:tr>
      <w:tr w:rsidR="00292069" w:rsidRPr="00292069" w14:paraId="6913A545" w14:textId="77777777" w:rsidTr="00292069">
        <w:tc>
          <w:tcPr>
            <w:tcW w:w="2222" w:type="pct"/>
            <w:hideMark/>
          </w:tcPr>
          <w:p w14:paraId="07E9880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Технологическая модернизация</w:t>
            </w:r>
          </w:p>
        </w:tc>
        <w:tc>
          <w:tcPr>
            <w:tcW w:w="564" w:type="pct"/>
            <w:hideMark/>
          </w:tcPr>
          <w:p w14:paraId="2513CB6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0,688</w:t>
            </w:r>
          </w:p>
        </w:tc>
        <w:tc>
          <w:tcPr>
            <w:tcW w:w="550" w:type="pct"/>
            <w:hideMark/>
          </w:tcPr>
          <w:p w14:paraId="036F3957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0,711</w:t>
            </w:r>
          </w:p>
        </w:tc>
        <w:tc>
          <w:tcPr>
            <w:tcW w:w="529" w:type="pct"/>
            <w:hideMark/>
          </w:tcPr>
          <w:p w14:paraId="5CF768F0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0,594</w:t>
            </w:r>
          </w:p>
        </w:tc>
        <w:tc>
          <w:tcPr>
            <w:tcW w:w="564" w:type="pct"/>
            <w:hideMark/>
          </w:tcPr>
          <w:p w14:paraId="1A81B11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0,520</w:t>
            </w:r>
          </w:p>
        </w:tc>
        <w:tc>
          <w:tcPr>
            <w:tcW w:w="571" w:type="pct"/>
            <w:hideMark/>
          </w:tcPr>
          <w:p w14:paraId="7C7329B3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0,435</w:t>
            </w:r>
          </w:p>
        </w:tc>
      </w:tr>
      <w:tr w:rsidR="00292069" w:rsidRPr="00292069" w14:paraId="6A06924E" w14:textId="77777777" w:rsidTr="00292069">
        <w:tc>
          <w:tcPr>
            <w:tcW w:w="2222" w:type="pct"/>
            <w:hideMark/>
          </w:tcPr>
          <w:p w14:paraId="31B841FA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Экологический</w:t>
            </w:r>
          </w:p>
        </w:tc>
        <w:tc>
          <w:tcPr>
            <w:tcW w:w="564" w:type="pct"/>
            <w:hideMark/>
          </w:tcPr>
          <w:p w14:paraId="04C7DB9B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0,684</w:t>
            </w:r>
          </w:p>
        </w:tc>
        <w:tc>
          <w:tcPr>
            <w:tcW w:w="550" w:type="pct"/>
            <w:hideMark/>
          </w:tcPr>
          <w:p w14:paraId="02407D3D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0,715</w:t>
            </w:r>
          </w:p>
        </w:tc>
        <w:tc>
          <w:tcPr>
            <w:tcW w:w="529" w:type="pct"/>
            <w:hideMark/>
          </w:tcPr>
          <w:p w14:paraId="7F113BE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0,548</w:t>
            </w:r>
          </w:p>
        </w:tc>
        <w:tc>
          <w:tcPr>
            <w:tcW w:w="564" w:type="pct"/>
            <w:hideMark/>
          </w:tcPr>
          <w:p w14:paraId="5334670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0,470</w:t>
            </w:r>
          </w:p>
        </w:tc>
        <w:tc>
          <w:tcPr>
            <w:tcW w:w="571" w:type="pct"/>
            <w:hideMark/>
          </w:tcPr>
          <w:p w14:paraId="1C61ABBF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0,435</w:t>
            </w:r>
          </w:p>
        </w:tc>
      </w:tr>
      <w:tr w:rsidR="00292069" w:rsidRPr="00292069" w14:paraId="529E333D" w14:textId="77777777" w:rsidTr="00292069">
        <w:tc>
          <w:tcPr>
            <w:tcW w:w="2222" w:type="pct"/>
            <w:hideMark/>
          </w:tcPr>
          <w:p w14:paraId="1927A4F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Комбинированный</w:t>
            </w:r>
          </w:p>
        </w:tc>
        <w:tc>
          <w:tcPr>
            <w:tcW w:w="564" w:type="pct"/>
            <w:hideMark/>
          </w:tcPr>
          <w:p w14:paraId="20F0370D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0,691</w:t>
            </w:r>
          </w:p>
        </w:tc>
        <w:tc>
          <w:tcPr>
            <w:tcW w:w="550" w:type="pct"/>
            <w:hideMark/>
          </w:tcPr>
          <w:p w14:paraId="3A7CC4B7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0,716</w:t>
            </w:r>
          </w:p>
        </w:tc>
        <w:tc>
          <w:tcPr>
            <w:tcW w:w="529" w:type="pct"/>
            <w:hideMark/>
          </w:tcPr>
          <w:p w14:paraId="5F9375E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0,594</w:t>
            </w:r>
          </w:p>
        </w:tc>
        <w:tc>
          <w:tcPr>
            <w:tcW w:w="564" w:type="pct"/>
            <w:hideMark/>
          </w:tcPr>
          <w:p w14:paraId="371ED51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0,470</w:t>
            </w:r>
          </w:p>
        </w:tc>
        <w:tc>
          <w:tcPr>
            <w:tcW w:w="571" w:type="pct"/>
            <w:hideMark/>
          </w:tcPr>
          <w:p w14:paraId="34E1B9B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0,447</w:t>
            </w:r>
          </w:p>
        </w:tc>
      </w:tr>
    </w:tbl>
    <w:p w14:paraId="5923ABA8" w14:textId="77777777" w:rsidR="00292069" w:rsidRPr="00AC4073" w:rsidRDefault="00292069" w:rsidP="00AC4073">
      <w:pPr>
        <w:spacing w:after="210"/>
        <w:jc w:val="center"/>
        <w:rPr>
          <w:rFonts w:asciiTheme="majorHAnsi" w:hAnsiTheme="majorHAnsi" w:cstheme="majorHAnsi"/>
          <w:sz w:val="22"/>
          <w:szCs w:val="22"/>
        </w:rPr>
      </w:pPr>
    </w:p>
    <w:p w14:paraId="385A2B21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bookmarkStart w:id="7" w:name="обсуждение_результатов"/>
      <w:r w:rsidRPr="0012042A">
        <w:rPr>
          <w:rFonts w:asciiTheme="majorHAnsi" w:eastAsia="source serif 4" w:hAnsiTheme="majorHAnsi" w:cstheme="majorHAnsi"/>
          <w:b/>
          <w:color w:val="000000"/>
        </w:rPr>
        <w:t>Обсуждение результатов</w:t>
      </w:r>
      <w:bookmarkEnd w:id="7"/>
    </w:p>
    <w:p w14:paraId="7635565E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Предлагаемая модель не претендует на описание всех производственных, финансовых и институциональных процессов, происходящих в ХМАО–Югре. Ее назначение состоит в выявлении ключевых обратных связей между технологическим развитием, социальной результативностью, инвестиционно-инновационной активностью и экологическими ограничениями. Использование агрегированных индексов делает модель прозрачной для интерпретации и применимой в условиях ограниченности открытых данных.</w:t>
      </w:r>
    </w:p>
    <w:p w14:paraId="773F5BFE" w14:textId="4A29EDBC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 xml:space="preserve">Практическая ценность модели состоит в возможности предварительной оценки последствий изменения параметров промышленной политики. Например, рост поддержки технологического обновления без увеличения природоохранных инвестиций способен ускорить технологическое развитие, но не гарантирует снижения экологических рисков. Напротив, согласованное изменение </w:t>
      </w:r>
      <m:oMath>
        <m:r>
          <w:rPr>
            <w:rFonts w:ascii="Cambria Math" w:hAnsi="Cambria Math" w:cstheme="majorHAnsi"/>
            <w:color w:val="000000"/>
          </w:rPr>
          <m:t>P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, </w:t>
      </w:r>
      <m:oMath>
        <m:r>
          <w:rPr>
            <w:rFonts w:ascii="Cambria Math" w:hAnsi="Cambria Math" w:cstheme="majorHAnsi"/>
            <w:color w:val="000000"/>
          </w:rPr>
          <m:t>H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и </w:t>
      </w:r>
      <m:oMath>
        <m:r>
          <w:rPr>
            <w:rFonts w:ascii="Cambria Math" w:hAnsi="Cambria Math" w:cstheme="majorHAnsi"/>
            <w:color w:val="000000"/>
          </w:rPr>
          <m:t>Z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(</m:t>
        </m:r>
        <m:r>
          <w:rPr>
            <w:rFonts w:ascii="Cambria Math" w:hAnsi="Cambria Math" w:cstheme="majorHAnsi"/>
            <w:color w:val="000000"/>
          </w:rPr>
          <m:t>t</m:t>
        </m:r>
        <m:r>
          <m:rPr>
            <m:sty m:val="p"/>
          </m:rPr>
          <w:rPr>
            <w:rFonts w:ascii="Cambria Math" w:hAnsi="Cambria Math" w:cstheme="majorHAnsi"/>
            <w:color w:val="000000"/>
          </w:rPr>
          <m:t>)</m:t>
        </m:r>
      </m:oMath>
      <w:r w:rsidRPr="0012042A">
        <w:rPr>
          <w:rFonts w:asciiTheme="majorHAnsi" w:eastAsia="source serif 4" w:hAnsiTheme="majorHAnsi" w:cstheme="majorHAnsi"/>
          <w:color w:val="000000"/>
        </w:rPr>
        <w:t xml:space="preserve"> позволяет анализировать условия, при которых технологическая трансформация приводит к более сбалансированному развитию региона.</w:t>
      </w:r>
      <w:r w:rsidR="00E155A8">
        <w:rPr>
          <w:rFonts w:asciiTheme="majorHAnsi" w:eastAsia="source serif 4" w:hAnsiTheme="majorHAnsi" w:cstheme="majorHAnsi"/>
          <w:color w:val="000000"/>
        </w:rPr>
        <w:t xml:space="preserve"> Следует учитывать текущие ограничения, а именно: п</w:t>
      </w:r>
      <w:r w:rsidR="00E155A8" w:rsidRPr="00E155A8">
        <w:rPr>
          <w:rFonts w:asciiTheme="majorHAnsi" w:eastAsia="source serif 4" w:hAnsiTheme="majorHAnsi" w:cstheme="majorHAnsi"/>
          <w:color w:val="000000"/>
        </w:rPr>
        <w:t xml:space="preserve">олученные различия характеризуют свойства заданной структуры модели и сценарных предпосылок. Они не являются статистическим прогнозом фактических значений региональных показателей. Коэффициенты взаимодействия пока не оценены по временным рядам, а значения управленческих воздействий после 2024 года заданы </w:t>
      </w:r>
      <w:proofErr w:type="spellStart"/>
      <w:r w:rsidR="00E155A8" w:rsidRPr="00E155A8">
        <w:rPr>
          <w:rFonts w:asciiTheme="majorHAnsi" w:eastAsia="source serif 4" w:hAnsiTheme="majorHAnsi" w:cstheme="majorHAnsi"/>
          <w:color w:val="000000"/>
        </w:rPr>
        <w:t>экспертно</w:t>
      </w:r>
      <w:proofErr w:type="spellEnd"/>
      <w:r w:rsidR="00E155A8" w:rsidRPr="00E155A8">
        <w:rPr>
          <w:rFonts w:asciiTheme="majorHAnsi" w:eastAsia="source serif 4" w:hAnsiTheme="majorHAnsi" w:cstheme="majorHAnsi"/>
          <w:color w:val="000000"/>
        </w:rPr>
        <w:t>. Поэтому результаты следует рассматривать как предварительную проверку логики сценариев.</w:t>
      </w:r>
    </w:p>
    <w:p w14:paraId="54B90540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Дальнейшее развитие исследования предполагает: уточнение состава индикаторов; оценку параметров на статистических данных; декомпозицию технологического потенциала по нефтегазовому, сервисному, цифровому и экологическому секторам; включение межрегиональных связей; сопоставление ХМАО–Югры с другими ресурсодобывающими субъектами Российской Федерации.</w:t>
      </w:r>
    </w:p>
    <w:p w14:paraId="590B4A54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8" w:name="заключение"/>
      <w:r w:rsidRPr="0012042A">
        <w:rPr>
          <w:rFonts w:asciiTheme="majorHAnsi" w:eastAsia="source serif 4" w:hAnsiTheme="majorHAnsi" w:cstheme="majorHAnsi"/>
          <w:b/>
          <w:color w:val="000000"/>
        </w:rPr>
        <w:t>Заключение</w:t>
      </w:r>
      <w:bookmarkEnd w:id="8"/>
    </w:p>
    <w:p w14:paraId="7A9A2D0B" w14:textId="77777777" w:rsidR="00E155A8" w:rsidRDefault="00E155A8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E155A8">
        <w:rPr>
          <w:rFonts w:asciiTheme="majorHAnsi" w:eastAsia="source serif 4" w:hAnsiTheme="majorHAnsi" w:cstheme="majorHAnsi"/>
          <w:color w:val="000000"/>
        </w:rPr>
        <w:t xml:space="preserve">Предложенная нелинейная модель обеспечивает сохранение технологического, социально-экономического, инвестиционно-инновационного и экологического индексов в диапазоне от 0 до 1. Предварительный расчёт на 2024–2030 годы показал, что технологические меры преимущественно влияют на инвестиционно-инновационную активность, а природоохранные меры — на экологическую нагрузку. </w:t>
      </w:r>
    </w:p>
    <w:p w14:paraId="43966D31" w14:textId="77777777" w:rsidR="00E155A8" w:rsidRDefault="00E155A8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E155A8">
        <w:rPr>
          <w:rFonts w:asciiTheme="majorHAnsi" w:eastAsia="source serif 4" w:hAnsiTheme="majorHAnsi" w:cstheme="majorHAnsi"/>
          <w:color w:val="000000"/>
        </w:rPr>
        <w:t>Совместное применение мер обеспечивает значение сводного индекса 0,447 против 0,423 в базовом сценарии. Для перехода от сценарного эксперимента к эмпирическому прогнозу требуется сформировать наблюдаемые индексы и оценить коэффициенты модели по региональным временным рядам.</w:t>
      </w:r>
    </w:p>
    <w:p w14:paraId="33E0EBE8" w14:textId="07BEF3AA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Применение модели к ХМАО–Югре позволяет перейти от статического сопоставления отдельных показателей к сценарной оценке последствий промышленной политики. Численная реализация в Python обеспечивает воспроизводимость расчетов, возможность калибровки параметров и сопоставления инерционного, технологически ориентированного и сбалансированного сценариев развития.</w:t>
      </w:r>
    </w:p>
    <w:p w14:paraId="56C6F45A" w14:textId="77777777" w:rsidR="00715F81" w:rsidRPr="002763F0" w:rsidRDefault="00000000" w:rsidP="00CF19FD">
      <w:pPr>
        <w:spacing w:before="315" w:after="105"/>
        <w:ind w:left="-30"/>
        <w:rPr>
          <w:rFonts w:asciiTheme="majorHAnsi" w:hAnsiTheme="majorHAnsi" w:cstheme="majorHAnsi"/>
          <w:lang w:val="en-US"/>
        </w:rPr>
      </w:pPr>
      <w:bookmarkStart w:id="9" w:name="литература"/>
      <w:r w:rsidRPr="0012042A">
        <w:rPr>
          <w:rFonts w:asciiTheme="majorHAnsi" w:eastAsia="source serif 4" w:hAnsiTheme="majorHAnsi" w:cstheme="majorHAnsi"/>
          <w:b/>
          <w:color w:val="000000"/>
        </w:rPr>
        <w:t>Литература</w:t>
      </w:r>
      <w:bookmarkEnd w:id="9"/>
    </w:p>
    <w:p w14:paraId="7FDCF92B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2763F0">
        <w:rPr>
          <w:rFonts w:asciiTheme="majorHAnsi" w:hAnsiTheme="majorHAnsi" w:cstheme="majorHAnsi"/>
          <w:lang w:val="en-US"/>
        </w:rPr>
        <w:t xml:space="preserve">1. Cooke P., </w:t>
      </w:r>
      <w:proofErr w:type="spellStart"/>
      <w:r w:rsidRPr="002763F0">
        <w:rPr>
          <w:rFonts w:asciiTheme="majorHAnsi" w:hAnsiTheme="majorHAnsi" w:cstheme="majorHAnsi"/>
          <w:lang w:val="en-US"/>
        </w:rPr>
        <w:t>Uranga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M. G., </w:t>
      </w:r>
      <w:proofErr w:type="spellStart"/>
      <w:r w:rsidRPr="002763F0">
        <w:rPr>
          <w:rFonts w:asciiTheme="majorHAnsi" w:hAnsiTheme="majorHAnsi" w:cstheme="majorHAnsi"/>
          <w:lang w:val="en-US"/>
        </w:rPr>
        <w:t>Etxebarria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G. Regional innovation systems: Institutional and </w:t>
      </w:r>
      <w:proofErr w:type="spellStart"/>
      <w:r w:rsidRPr="002763F0">
        <w:rPr>
          <w:rFonts w:asciiTheme="majorHAnsi" w:hAnsiTheme="majorHAnsi" w:cstheme="majorHAnsi"/>
          <w:lang w:val="en-US"/>
        </w:rPr>
        <w:t>organisational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dimensions // Research Policy. 1997. Vol. 26, no. 4–5. P. 475–491. https://doi.org/10.1016/S0048-7333(97)00025-5</w:t>
      </w:r>
    </w:p>
    <w:p w14:paraId="201E0371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2763F0">
        <w:rPr>
          <w:rFonts w:asciiTheme="majorHAnsi" w:hAnsiTheme="majorHAnsi" w:cstheme="majorHAnsi"/>
          <w:lang w:val="en-US"/>
        </w:rPr>
        <w:t xml:space="preserve">2. Asheim B. T., Gertler M. S. The geography of innovation: Regional innovation systems // The Oxford Handbook of Innovation / eds. J. Fagerberg, D. C. Mowery, R. R. Nelson. </w:t>
      </w:r>
      <w:proofErr w:type="gramStart"/>
      <w:r w:rsidRPr="002763F0">
        <w:rPr>
          <w:rFonts w:asciiTheme="majorHAnsi" w:hAnsiTheme="majorHAnsi" w:cstheme="majorHAnsi"/>
          <w:lang w:val="en-US"/>
        </w:rPr>
        <w:t>Oxford :</w:t>
      </w:r>
      <w:proofErr w:type="gramEnd"/>
      <w:r w:rsidRPr="002763F0">
        <w:rPr>
          <w:rFonts w:asciiTheme="majorHAnsi" w:hAnsiTheme="majorHAnsi" w:cstheme="majorHAnsi"/>
          <w:lang w:val="en-US"/>
        </w:rPr>
        <w:t xml:space="preserve"> Oxford University Press, 2005. P. 291–317. https://doi.org/10.1093/oxfordhb/9780199286805.003.0011</w:t>
      </w:r>
    </w:p>
    <w:p w14:paraId="7C6CAB86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</w:rPr>
      </w:pPr>
      <w:r w:rsidRPr="002763F0">
        <w:rPr>
          <w:rFonts w:asciiTheme="majorHAnsi" w:hAnsiTheme="majorHAnsi" w:cstheme="majorHAnsi"/>
          <w:lang w:val="en-US"/>
        </w:rPr>
        <w:t xml:space="preserve">3. </w:t>
      </w:r>
      <w:proofErr w:type="spellStart"/>
      <w:r w:rsidRPr="002763F0">
        <w:rPr>
          <w:rFonts w:asciiTheme="majorHAnsi" w:hAnsiTheme="majorHAnsi" w:cstheme="majorHAnsi"/>
          <w:lang w:val="en-US"/>
        </w:rPr>
        <w:t>Etzkowitz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H., </w:t>
      </w:r>
      <w:proofErr w:type="spellStart"/>
      <w:r w:rsidRPr="002763F0">
        <w:rPr>
          <w:rFonts w:asciiTheme="majorHAnsi" w:hAnsiTheme="majorHAnsi" w:cstheme="majorHAnsi"/>
          <w:lang w:val="en-US"/>
        </w:rPr>
        <w:t>Leydesdorff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L. The Triple Helix — University–Industry–Government Relations: A Laboratory for Knowledge Based Economic Development // EASST Review. </w:t>
      </w:r>
      <w:r w:rsidRPr="002763F0">
        <w:rPr>
          <w:rFonts w:asciiTheme="majorHAnsi" w:hAnsiTheme="majorHAnsi" w:cstheme="majorHAnsi"/>
        </w:rPr>
        <w:t xml:space="preserve">1995. </w:t>
      </w:r>
      <w:proofErr w:type="spellStart"/>
      <w:r w:rsidRPr="002763F0">
        <w:rPr>
          <w:rFonts w:asciiTheme="majorHAnsi" w:hAnsiTheme="majorHAnsi" w:cstheme="majorHAnsi"/>
        </w:rPr>
        <w:t>Vol</w:t>
      </w:r>
      <w:proofErr w:type="spellEnd"/>
      <w:r w:rsidRPr="002763F0">
        <w:rPr>
          <w:rFonts w:asciiTheme="majorHAnsi" w:hAnsiTheme="majorHAnsi" w:cstheme="majorHAnsi"/>
        </w:rPr>
        <w:t xml:space="preserve">. 14, </w:t>
      </w:r>
      <w:proofErr w:type="spellStart"/>
      <w:r w:rsidRPr="002763F0">
        <w:rPr>
          <w:rFonts w:asciiTheme="majorHAnsi" w:hAnsiTheme="majorHAnsi" w:cstheme="majorHAnsi"/>
        </w:rPr>
        <w:t>no</w:t>
      </w:r>
      <w:proofErr w:type="spellEnd"/>
      <w:r w:rsidRPr="002763F0">
        <w:rPr>
          <w:rFonts w:asciiTheme="majorHAnsi" w:hAnsiTheme="majorHAnsi" w:cstheme="majorHAnsi"/>
        </w:rPr>
        <w:t>. 1. P. 14–19.</w:t>
      </w:r>
    </w:p>
    <w:p w14:paraId="5F9C9832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</w:rPr>
      </w:pPr>
      <w:r w:rsidRPr="002763F0">
        <w:rPr>
          <w:rFonts w:asciiTheme="majorHAnsi" w:hAnsiTheme="majorHAnsi" w:cstheme="majorHAnsi"/>
        </w:rPr>
        <w:t>4. Бородин С. Н. Модель оценки устойчивого развития региона на основе индексного метода // Экономика региона. 2023. Т. 19, № 1. С. 45–59. https://doi.org/10.17059/ekon.reg.2023-1-4</w:t>
      </w:r>
    </w:p>
    <w:p w14:paraId="0DA93CA8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2763F0">
        <w:rPr>
          <w:rFonts w:asciiTheme="majorHAnsi" w:hAnsiTheme="majorHAnsi" w:cstheme="majorHAnsi"/>
        </w:rPr>
        <w:t>5. Демидова К. В., Баринова В. А., Гвоздева М. А. Экологические риски и устойчивое развитие российских регионов в условиях кризисов // R-</w:t>
      </w:r>
      <w:proofErr w:type="spellStart"/>
      <w:r w:rsidRPr="002763F0">
        <w:rPr>
          <w:rFonts w:asciiTheme="majorHAnsi" w:hAnsiTheme="majorHAnsi" w:cstheme="majorHAnsi"/>
        </w:rPr>
        <w:t>Economy</w:t>
      </w:r>
      <w:proofErr w:type="spellEnd"/>
      <w:r w:rsidRPr="002763F0">
        <w:rPr>
          <w:rFonts w:asciiTheme="majorHAnsi" w:hAnsiTheme="majorHAnsi" w:cstheme="majorHAnsi"/>
        </w:rPr>
        <w:t xml:space="preserve">. </w:t>
      </w:r>
      <w:r w:rsidRPr="002763F0">
        <w:rPr>
          <w:rFonts w:asciiTheme="majorHAnsi" w:hAnsiTheme="majorHAnsi" w:cstheme="majorHAnsi"/>
          <w:lang w:val="en-US"/>
        </w:rPr>
        <w:t xml:space="preserve">2024. </w:t>
      </w:r>
      <w:r w:rsidRPr="002763F0">
        <w:rPr>
          <w:rFonts w:asciiTheme="majorHAnsi" w:hAnsiTheme="majorHAnsi" w:cstheme="majorHAnsi"/>
        </w:rPr>
        <w:t>Т</w:t>
      </w:r>
      <w:r w:rsidRPr="002763F0">
        <w:rPr>
          <w:rFonts w:asciiTheme="majorHAnsi" w:hAnsiTheme="majorHAnsi" w:cstheme="majorHAnsi"/>
          <w:lang w:val="en-US"/>
        </w:rPr>
        <w:t xml:space="preserve">. 10, № 4. </w:t>
      </w:r>
      <w:r w:rsidRPr="002763F0">
        <w:rPr>
          <w:rFonts w:asciiTheme="majorHAnsi" w:hAnsiTheme="majorHAnsi" w:cstheme="majorHAnsi"/>
        </w:rPr>
        <w:t>С</w:t>
      </w:r>
      <w:r w:rsidRPr="002763F0">
        <w:rPr>
          <w:rFonts w:asciiTheme="majorHAnsi" w:hAnsiTheme="majorHAnsi" w:cstheme="majorHAnsi"/>
          <w:lang w:val="en-US"/>
        </w:rPr>
        <w:t>. 427–443. https://doi.org/10.15826/recon.2024.10.4.026</w:t>
      </w:r>
    </w:p>
    <w:p w14:paraId="09626577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2763F0">
        <w:rPr>
          <w:rFonts w:asciiTheme="majorHAnsi" w:hAnsiTheme="majorHAnsi" w:cstheme="majorHAnsi"/>
          <w:lang w:val="en-US"/>
        </w:rPr>
        <w:t xml:space="preserve">6. Samara E., </w:t>
      </w:r>
      <w:proofErr w:type="spellStart"/>
      <w:r w:rsidRPr="002763F0">
        <w:rPr>
          <w:rFonts w:asciiTheme="majorHAnsi" w:hAnsiTheme="majorHAnsi" w:cstheme="majorHAnsi"/>
          <w:lang w:val="en-US"/>
        </w:rPr>
        <w:t>Kilintzis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P., </w:t>
      </w:r>
      <w:proofErr w:type="spellStart"/>
      <w:r w:rsidRPr="002763F0">
        <w:rPr>
          <w:rFonts w:asciiTheme="majorHAnsi" w:hAnsiTheme="majorHAnsi" w:cstheme="majorHAnsi"/>
          <w:lang w:val="en-US"/>
        </w:rPr>
        <w:t>Katsoras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E., </w:t>
      </w:r>
      <w:proofErr w:type="spellStart"/>
      <w:r w:rsidRPr="002763F0">
        <w:rPr>
          <w:rFonts w:asciiTheme="majorHAnsi" w:hAnsiTheme="majorHAnsi" w:cstheme="majorHAnsi"/>
          <w:lang w:val="en-US"/>
        </w:rPr>
        <w:t>Martnidis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G., Kosti P. A system dynamics approach for the development of a Regional Innovation System // Journal of Innovation and Entrepreneurship. 2024. Vol. 13, no. 1. Art. 26. https://doi.org/10.1186/s13731-024-00385-5</w:t>
      </w:r>
    </w:p>
    <w:p w14:paraId="5E7201B2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2763F0">
        <w:rPr>
          <w:rFonts w:asciiTheme="majorHAnsi" w:hAnsiTheme="majorHAnsi" w:cstheme="majorHAnsi"/>
          <w:lang w:val="en-US"/>
        </w:rPr>
        <w:t>7. Hou R., Zhang L., Wang Y., Liu X. Research on the Optimization Path of Regional Innovation Development Based on System Dynamics // Sustainability. 2024. Vol. 16, no. 11. Art. 4869. https://doi.org/10.3390/su16114869</w:t>
      </w:r>
    </w:p>
    <w:p w14:paraId="6A62BDB8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2763F0">
        <w:rPr>
          <w:rFonts w:asciiTheme="majorHAnsi" w:hAnsiTheme="majorHAnsi" w:cstheme="majorHAnsi"/>
          <w:lang w:val="en-US"/>
        </w:rPr>
        <w:t xml:space="preserve">8. </w:t>
      </w:r>
      <w:proofErr w:type="spellStart"/>
      <w:r w:rsidRPr="002763F0">
        <w:rPr>
          <w:rFonts w:asciiTheme="majorHAnsi" w:hAnsiTheme="majorHAnsi" w:cstheme="majorHAnsi"/>
          <w:lang w:val="en-US"/>
        </w:rPr>
        <w:t>Kryazhimskiy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A. V., </w:t>
      </w:r>
      <w:proofErr w:type="spellStart"/>
      <w:r w:rsidRPr="002763F0">
        <w:rPr>
          <w:rFonts w:asciiTheme="majorHAnsi" w:hAnsiTheme="majorHAnsi" w:cstheme="majorHAnsi"/>
          <w:lang w:val="en-US"/>
        </w:rPr>
        <w:t>Tarasyev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A. M., </w:t>
      </w:r>
      <w:proofErr w:type="spellStart"/>
      <w:r w:rsidRPr="002763F0">
        <w:rPr>
          <w:rFonts w:asciiTheme="majorHAnsi" w:hAnsiTheme="majorHAnsi" w:cstheme="majorHAnsi"/>
          <w:lang w:val="en-US"/>
        </w:rPr>
        <w:t>Usova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A. A., Wang W. Proportional economic growth under conditions of limited natural resources // Proceedings of the </w:t>
      </w:r>
      <w:proofErr w:type="spellStart"/>
      <w:r w:rsidRPr="002763F0">
        <w:rPr>
          <w:rFonts w:asciiTheme="majorHAnsi" w:hAnsiTheme="majorHAnsi" w:cstheme="majorHAnsi"/>
          <w:lang w:val="en-US"/>
        </w:rPr>
        <w:t>Steklov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Institute of Mathematics. 2015. Vol. 291, suppl. 1. P. S135–S149. https://doi.org/10.1134/S008154381508012X</w:t>
      </w:r>
    </w:p>
    <w:p w14:paraId="6C2986FF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  <w:lang w:val="en-US"/>
        </w:rPr>
      </w:pPr>
      <w:r w:rsidRPr="002763F0">
        <w:rPr>
          <w:rFonts w:asciiTheme="majorHAnsi" w:hAnsiTheme="majorHAnsi" w:cstheme="majorHAnsi"/>
          <w:lang w:val="en-US"/>
        </w:rPr>
        <w:t xml:space="preserve">9. Alexeev M., </w:t>
      </w:r>
      <w:proofErr w:type="spellStart"/>
      <w:r w:rsidRPr="002763F0">
        <w:rPr>
          <w:rFonts w:asciiTheme="majorHAnsi" w:hAnsiTheme="majorHAnsi" w:cstheme="majorHAnsi"/>
          <w:lang w:val="en-US"/>
        </w:rPr>
        <w:t>Chernyavskiy</w:t>
      </w:r>
      <w:proofErr w:type="spellEnd"/>
      <w:r w:rsidRPr="002763F0">
        <w:rPr>
          <w:rFonts w:asciiTheme="majorHAnsi" w:hAnsiTheme="majorHAnsi" w:cstheme="majorHAnsi"/>
          <w:lang w:val="en-US"/>
        </w:rPr>
        <w:t xml:space="preserve"> A. Taxation of natural resources and economic growth in Russia's regions // Economic Systems. 2015. Vol. 39, no. 2. P. 317–338. https://doi.org/10.1016/j.ecosys.2014.11.005</w:t>
      </w:r>
    </w:p>
    <w:p w14:paraId="259E9A7E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</w:rPr>
      </w:pPr>
      <w:r w:rsidRPr="002763F0">
        <w:rPr>
          <w:rFonts w:asciiTheme="majorHAnsi" w:hAnsiTheme="majorHAnsi" w:cstheme="majorHAnsi"/>
          <w:lang w:val="en-US"/>
        </w:rPr>
        <w:t xml:space="preserve">10. Sachs J. D., Warner A. M. Natural Resource Abundance and Economic Growth // NBER Working Paper. </w:t>
      </w:r>
      <w:r w:rsidRPr="002763F0">
        <w:rPr>
          <w:rFonts w:asciiTheme="majorHAnsi" w:hAnsiTheme="majorHAnsi" w:cstheme="majorHAnsi"/>
        </w:rPr>
        <w:t>1995. No. 5398. https://doi.org/10.3386/w5398</w:t>
      </w:r>
    </w:p>
    <w:p w14:paraId="2F113AF7" w14:textId="77777777" w:rsidR="002763F0" w:rsidRPr="002763F0" w:rsidRDefault="002763F0" w:rsidP="00CF19FD">
      <w:pPr>
        <w:spacing w:after="210"/>
        <w:ind w:firstLine="567"/>
        <w:rPr>
          <w:rFonts w:asciiTheme="majorHAnsi" w:hAnsiTheme="majorHAnsi" w:cstheme="majorHAnsi"/>
        </w:rPr>
      </w:pPr>
      <w:r w:rsidRPr="002763F0">
        <w:rPr>
          <w:rFonts w:asciiTheme="majorHAnsi" w:hAnsiTheme="majorHAnsi" w:cstheme="majorHAnsi"/>
        </w:rPr>
        <w:t xml:space="preserve">11. Стратегия социально-экономического развития Ханты-Мансийского автономного округа – Югры до 2036 года с целевыми ориентирами до 2050 </w:t>
      </w:r>
      <w:proofErr w:type="gramStart"/>
      <w:r w:rsidRPr="002763F0">
        <w:rPr>
          <w:rFonts w:asciiTheme="majorHAnsi" w:hAnsiTheme="majorHAnsi" w:cstheme="majorHAnsi"/>
        </w:rPr>
        <w:t>года :</w:t>
      </w:r>
      <w:proofErr w:type="gramEnd"/>
      <w:r w:rsidRPr="002763F0">
        <w:rPr>
          <w:rFonts w:asciiTheme="majorHAnsi" w:hAnsiTheme="majorHAnsi" w:cstheme="majorHAnsi"/>
        </w:rPr>
        <w:t xml:space="preserve"> распоряжение Правительства Ханты-Мансийского автономного округа – Югры от 03.11.2022 № 679-рп // Официальный сайт органов государственной власти Ханты-Мансийского автономного округа – Югры. URL: https://econ.sovrnhmao.ru/s-e-r/2030.php (дата обращения: 04.09.2026).</w:t>
      </w:r>
    </w:p>
    <w:p w14:paraId="144B12E2" w14:textId="511F56FC" w:rsidR="00715F81" w:rsidRPr="0012042A" w:rsidRDefault="002763F0" w:rsidP="00CF19FD">
      <w:pPr>
        <w:spacing w:after="210"/>
        <w:ind w:firstLine="567"/>
        <w:rPr>
          <w:rFonts w:asciiTheme="majorHAnsi" w:hAnsiTheme="majorHAnsi" w:cstheme="majorHAnsi"/>
        </w:rPr>
      </w:pPr>
      <w:r w:rsidRPr="002763F0">
        <w:rPr>
          <w:rFonts w:asciiTheme="majorHAnsi" w:hAnsiTheme="majorHAnsi" w:cstheme="majorHAnsi"/>
        </w:rPr>
        <w:t>12. Федеральная служба государственной статистики. Единая межведомственная информационно-статистическая система. URL: https://www.fedstat.ru/ (дата обращения: 04.09.2026).</w:t>
      </w:r>
    </w:p>
    <w:p w14:paraId="1F202E63" w14:textId="77777777" w:rsidR="00715F81" w:rsidRPr="0012042A" w:rsidRDefault="00000000" w:rsidP="00CF19FD">
      <w:pPr>
        <w:spacing w:before="21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>
        <w:rPr>
          <w:rFonts w:asciiTheme="majorHAnsi" w:hAnsiTheme="majorHAnsi" w:cstheme="majorHAnsi"/>
          <w:noProof/>
        </w:rPr>
        <w:pict w14:anchorId="3DA0203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A04DFA" w14:textId="77777777" w:rsidR="00715F81" w:rsidRDefault="00000000" w:rsidP="00CF19FD">
      <w:pPr>
        <w:spacing w:before="157" w:after="157"/>
        <w:rPr>
          <w:rFonts w:asciiTheme="majorHAnsi" w:eastAsia="source serif 4" w:hAnsiTheme="majorHAnsi" w:cstheme="majorHAnsi"/>
          <w:b/>
          <w:color w:val="000000"/>
        </w:rPr>
      </w:pPr>
      <w:bookmarkStart w:id="10" w:name="приложение_а_программная_реализац_e4e389"/>
      <w:r w:rsidRPr="0012042A">
        <w:rPr>
          <w:rFonts w:asciiTheme="majorHAnsi" w:eastAsia="source serif 4" w:hAnsiTheme="majorHAnsi" w:cstheme="majorHAnsi"/>
          <w:b/>
          <w:color w:val="000000"/>
        </w:rPr>
        <w:t>Приложение А. Программная реализация динамической модели на Python</w:t>
      </w:r>
      <w:bookmarkEnd w:id="10"/>
    </w:p>
    <w:p w14:paraId="61AF3A42" w14:textId="77777777" w:rsidR="00E155A8" w:rsidRDefault="00E155A8" w:rsidP="00CF19FD">
      <w:pPr>
        <w:spacing w:before="157" w:after="157"/>
        <w:rPr>
          <w:rFonts w:asciiTheme="majorHAnsi" w:eastAsia="source serif 4" w:hAnsiTheme="majorHAnsi" w:cstheme="majorHAnsi"/>
          <w:b/>
          <w:color w:val="000000"/>
        </w:rPr>
      </w:pPr>
    </w:p>
    <w:p w14:paraId="2D6122DE" w14:textId="77777777" w:rsidR="00E155A8" w:rsidRPr="0012042A" w:rsidRDefault="00E155A8" w:rsidP="00CF19FD">
      <w:pPr>
        <w:spacing w:before="157" w:after="157"/>
        <w:rPr>
          <w:rFonts w:asciiTheme="majorHAnsi" w:hAnsiTheme="majorHAnsi" w:cstheme="majorHAnsi"/>
        </w:rPr>
      </w:pPr>
    </w:p>
    <w:sectPr w:rsidR="00E155A8" w:rsidRPr="0012042A" w:rsidSect="0012042A">
      <w:pgSz w:w="11906" w:h="16838" w:code="9"/>
      <w:pgMar w:top="1134" w:right="1134" w:bottom="1134" w:left="1134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D5304"/>
    <w:multiLevelType w:val="hybridMultilevel"/>
    <w:tmpl w:val="082026EC"/>
    <w:lvl w:ilvl="0" w:tplc="9998CC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52F58E">
      <w:numFmt w:val="decimal"/>
      <w:lvlText w:val=""/>
      <w:lvlJc w:val="left"/>
    </w:lvl>
    <w:lvl w:ilvl="2" w:tplc="CCC2D3F0">
      <w:numFmt w:val="decimal"/>
      <w:lvlText w:val=""/>
      <w:lvlJc w:val="left"/>
    </w:lvl>
    <w:lvl w:ilvl="3" w:tplc="598601DA">
      <w:numFmt w:val="decimal"/>
      <w:lvlText w:val=""/>
      <w:lvlJc w:val="left"/>
    </w:lvl>
    <w:lvl w:ilvl="4" w:tplc="83EA47C8">
      <w:numFmt w:val="decimal"/>
      <w:lvlText w:val=""/>
      <w:lvlJc w:val="left"/>
    </w:lvl>
    <w:lvl w:ilvl="5" w:tplc="5AE80556">
      <w:numFmt w:val="decimal"/>
      <w:lvlText w:val=""/>
      <w:lvlJc w:val="left"/>
    </w:lvl>
    <w:lvl w:ilvl="6" w:tplc="2C52A7B0">
      <w:numFmt w:val="decimal"/>
      <w:lvlText w:val=""/>
      <w:lvlJc w:val="left"/>
    </w:lvl>
    <w:lvl w:ilvl="7" w:tplc="A8622CDA">
      <w:numFmt w:val="decimal"/>
      <w:lvlText w:val=""/>
      <w:lvlJc w:val="left"/>
    </w:lvl>
    <w:lvl w:ilvl="8" w:tplc="1E9A3D5E">
      <w:numFmt w:val="decimal"/>
      <w:lvlText w:val=""/>
      <w:lvlJc w:val="left"/>
    </w:lvl>
  </w:abstractNum>
  <w:num w:numId="1" w16cid:durableId="952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F81"/>
    <w:rsid w:val="000A378E"/>
    <w:rsid w:val="0012042A"/>
    <w:rsid w:val="002763F0"/>
    <w:rsid w:val="00292069"/>
    <w:rsid w:val="004B0D0D"/>
    <w:rsid w:val="00715F81"/>
    <w:rsid w:val="00837597"/>
    <w:rsid w:val="00AC4073"/>
    <w:rsid w:val="00BC032C"/>
    <w:rsid w:val="00CF19FD"/>
    <w:rsid w:val="00E1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94AD601"/>
  <w15:docId w15:val="{7A37D71E-8482-4B00-BC59-6D34E632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a3">
    <w:name w:val="Table Grid"/>
    <w:basedOn w:val="a1"/>
    <w:uiPriority w:val="39"/>
    <w:rsid w:val="00CF1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92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3BE0C-52DA-42DD-B2FD-8A2BF3501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3289</Words>
  <Characters>18752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 Samarkin</cp:lastModifiedBy>
  <cp:revision>3</cp:revision>
  <dcterms:created xsi:type="dcterms:W3CDTF">2026-09-04T03:47:00Z</dcterms:created>
  <dcterms:modified xsi:type="dcterms:W3CDTF">2026-09-04T05:49:00Z</dcterms:modified>
</cp:coreProperties>
</file>