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DA798" w14:textId="77777777" w:rsidR="0012042A" w:rsidRPr="0012042A" w:rsidRDefault="0012042A" w:rsidP="00CF19FD">
      <w:pPr>
        <w:spacing w:after="210"/>
        <w:rPr>
          <w:rFonts w:asciiTheme="majorHAnsi" w:hAnsiTheme="majorHAnsi" w:cstheme="majorHAnsi"/>
        </w:rPr>
      </w:pPr>
      <w:bookmarkStart w:id="0" w:name="динамическая_модель_оценки_технол_6702e5"/>
      <w:r w:rsidRPr="0012042A">
        <w:rPr>
          <w:rFonts w:asciiTheme="majorHAnsi" w:eastAsia="source serif 4" w:hAnsiTheme="majorHAnsi" w:cstheme="majorHAnsi"/>
          <w:b/>
          <w:color w:val="000000"/>
        </w:rPr>
        <w:t>УДК 330.4; 332.1</w:t>
      </w:r>
    </w:p>
    <w:p w14:paraId="3123592F" w14:textId="22C9864D" w:rsidR="0012042A" w:rsidRDefault="0012042A" w:rsidP="00CF19FD">
      <w:pPr>
        <w:spacing w:after="210"/>
        <w:jc w:val="right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Андреянова И.В.</w:t>
      </w:r>
      <w:r w:rsidRPr="0012042A">
        <w:rPr>
          <w:rFonts w:asciiTheme="majorHAnsi" w:eastAsia="source serif 4" w:hAnsiTheme="majorHAnsi" w:cstheme="majorHAnsi"/>
          <w:color w:val="000000"/>
        </w:rPr>
        <w:br/>
        <w:t xml:space="preserve">канд. </w:t>
      </w:r>
      <w:r>
        <w:rPr>
          <w:rFonts w:asciiTheme="majorHAnsi" w:eastAsia="source serif 4" w:hAnsiTheme="majorHAnsi" w:cstheme="majorHAnsi"/>
          <w:color w:val="000000"/>
        </w:rPr>
        <w:t>юридических</w:t>
      </w:r>
      <w:r w:rsidRPr="0012042A">
        <w:rPr>
          <w:rFonts w:asciiTheme="majorHAnsi" w:eastAsia="source serif 4" w:hAnsiTheme="majorHAnsi" w:cstheme="majorHAnsi"/>
          <w:color w:val="000000"/>
        </w:rPr>
        <w:t>. наук, доцент</w:t>
      </w:r>
      <w:r w:rsidRPr="0012042A">
        <w:rPr>
          <w:rFonts w:asciiTheme="majorHAnsi" w:eastAsia="source serif 4" w:hAnsiTheme="majorHAnsi" w:cstheme="majorHAnsi"/>
          <w:color w:val="000000"/>
        </w:rPr>
        <w:br/>
      </w:r>
      <w:r>
        <w:rPr>
          <w:rFonts w:asciiTheme="majorHAnsi" w:eastAsia="source serif 4" w:hAnsiTheme="majorHAnsi" w:cstheme="majorHAnsi"/>
          <w:color w:val="000000"/>
        </w:rPr>
        <w:t>Фонд развития ИНТЦ ЮНИТИ ПАРК</w:t>
      </w:r>
      <w:r w:rsidRPr="0012042A">
        <w:rPr>
          <w:rFonts w:asciiTheme="majorHAnsi" w:eastAsia="source serif 4" w:hAnsiTheme="majorHAnsi" w:cstheme="majorHAnsi"/>
          <w:color w:val="000000"/>
        </w:rPr>
        <w:br/>
        <w:t xml:space="preserve">г. </w:t>
      </w:r>
      <w:r>
        <w:rPr>
          <w:rFonts w:asciiTheme="majorHAnsi" w:eastAsia="source serif 4" w:hAnsiTheme="majorHAnsi" w:cstheme="majorHAnsi"/>
          <w:color w:val="000000"/>
        </w:rPr>
        <w:t>Сургут</w:t>
      </w:r>
      <w:r w:rsidRPr="0012042A">
        <w:rPr>
          <w:rFonts w:asciiTheme="majorHAnsi" w:eastAsia="source serif 4" w:hAnsiTheme="majorHAnsi" w:cstheme="majorHAnsi"/>
          <w:color w:val="000000"/>
        </w:rPr>
        <w:t>, Россия</w:t>
      </w:r>
    </w:p>
    <w:p w14:paraId="21868565" w14:textId="77777777" w:rsidR="0012042A" w:rsidRPr="0012042A" w:rsidRDefault="0012042A" w:rsidP="00CF19FD">
      <w:pPr>
        <w:spacing w:after="210"/>
        <w:rPr>
          <w:rFonts w:asciiTheme="majorHAnsi" w:hAnsiTheme="majorHAnsi" w:cstheme="majorHAnsi"/>
        </w:rPr>
      </w:pPr>
    </w:p>
    <w:p w14:paraId="195B62BA" w14:textId="513D04FE" w:rsidR="00715F81" w:rsidRPr="0012042A" w:rsidRDefault="0012042A" w:rsidP="00CF19FD">
      <w:pPr>
        <w:spacing w:before="157" w:after="157"/>
        <w:jc w:val="center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ДИНАМИЧЕСКАЯ МОДЕЛЬ ОЦЕНКИ ТЕХНОЛОГИЧЕСКОГО И СОЦИАЛЬНО-ЭКОНОМИЧЕСКОГО ПОТЕНЦИАЛА РЕСУРСОДОБЫВАЮЩЕГО РЕГИОНА (НА ПРИМЕРЕ ХМАО–ЮГРЫ)</w:t>
      </w:r>
      <w:bookmarkEnd w:id="0"/>
    </w:p>
    <w:p w14:paraId="17B74DE8" w14:textId="2A9493A0" w:rsidR="00715F81" w:rsidRPr="00CF19FD" w:rsidRDefault="00000000" w:rsidP="00CF19FD">
      <w:pPr>
        <w:spacing w:before="315" w:after="105"/>
        <w:ind w:left="-30" w:firstLine="597"/>
        <w:jc w:val="both"/>
        <w:rPr>
          <w:rFonts w:asciiTheme="majorHAnsi" w:eastAsia="source serif 4" w:hAnsiTheme="majorHAnsi" w:cstheme="majorHAnsi"/>
          <w:color w:val="000000"/>
        </w:rPr>
      </w:pPr>
      <w:bookmarkStart w:id="1" w:name="аннотация"/>
      <w:r w:rsidRPr="0012042A">
        <w:rPr>
          <w:rFonts w:asciiTheme="majorHAnsi" w:eastAsia="source serif 4" w:hAnsiTheme="majorHAnsi" w:cstheme="majorHAnsi"/>
          <w:b/>
          <w:color w:val="000000"/>
        </w:rPr>
        <w:t>Аннотация</w:t>
      </w:r>
      <w:bookmarkEnd w:id="1"/>
      <w:r w:rsidR="0012042A">
        <w:rPr>
          <w:rFonts w:asciiTheme="majorHAnsi" w:eastAsia="source serif 4" w:hAnsiTheme="majorHAnsi" w:cstheme="majorHAnsi"/>
          <w:b/>
          <w:color w:val="000000"/>
        </w:rPr>
        <w:t xml:space="preserve">. </w:t>
      </w:r>
      <w:r w:rsidR="00022457" w:rsidRPr="00022457">
        <w:rPr>
          <w:rFonts w:asciiTheme="majorHAnsi" w:eastAsia="source serif 4" w:hAnsiTheme="majorHAnsi" w:cstheme="majorHAnsi"/>
          <w:color w:val="000000"/>
        </w:rPr>
        <w:t>В статье предложена динамическая модель оценки технологического и социально-экономического потенциала ресурсодобывающего региона на примере ХМАО–Югры. Модель учитывает инвестиционно-инновационную активность и экологическую нагрузку, использует нормированные интегральные индексы и сценарные расчёты в Python. Результаты моделирования за 2024–2030 годы показывают преимущество комбинированного сценария, сочетающего технологическую модернизацию и природоохранные меры.</w:t>
      </w:r>
    </w:p>
    <w:p w14:paraId="6E34880F" w14:textId="77777777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b/>
          <w:color w:val="000000"/>
        </w:rPr>
        <w:t>Ключевые слова: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 ресурсодобывающий регион; ХМАО–Югра; устойчивое развитие; технологический потенциал; социально-экономический потенциал; промышленная политика; динамическая модель; дифференциальные уравнения.</w:t>
      </w:r>
    </w:p>
    <w:p w14:paraId="70548BED" w14:textId="77777777" w:rsidR="00715F81" w:rsidRPr="0012042A" w:rsidRDefault="00000000" w:rsidP="00CF19FD">
      <w:pPr>
        <w:spacing w:before="315" w:after="105"/>
        <w:ind w:left="-30" w:firstLine="597"/>
        <w:rPr>
          <w:rFonts w:asciiTheme="majorHAnsi" w:hAnsiTheme="majorHAnsi" w:cstheme="majorHAnsi"/>
        </w:rPr>
      </w:pPr>
      <w:bookmarkStart w:id="2" w:name="введение"/>
      <w:r w:rsidRPr="0012042A">
        <w:rPr>
          <w:rFonts w:asciiTheme="majorHAnsi" w:eastAsia="source serif 4" w:hAnsiTheme="majorHAnsi" w:cstheme="majorHAnsi"/>
          <w:b/>
          <w:color w:val="000000"/>
        </w:rPr>
        <w:t>Введение</w:t>
      </w:r>
      <w:bookmarkEnd w:id="2"/>
    </w:p>
    <w:p w14:paraId="7EE94E64" w14:textId="34F6686A" w:rsidR="00715F81" w:rsidRPr="0012042A" w:rsidRDefault="00000000" w:rsidP="00A96894">
      <w:pPr>
        <w:pStyle w:val="1"/>
      </w:pPr>
      <w:r w:rsidRPr="0012042A">
        <w:t xml:space="preserve">Ресурсодобывающие регионы </w:t>
      </w:r>
      <w:r w:rsidR="00EC2699">
        <w:t>имеют</w:t>
      </w:r>
      <w:r w:rsidRPr="0012042A">
        <w:t xml:space="preserve"> ключевое значение для социально-экономического развития Российской Федерации, обеспечения энергетической безопасности и формирования бюджетных доходов</w:t>
      </w:r>
      <w:r w:rsidR="00D21072">
        <w:t xml:space="preserve"> </w:t>
      </w:r>
      <w:r w:rsidR="00D21072" w:rsidRPr="00D21072">
        <w:rPr>
          <w:b/>
          <w:bCs/>
        </w:rPr>
        <w:t>[5]</w:t>
      </w:r>
      <w:r w:rsidR="00EC2699">
        <w:rPr>
          <w:b/>
          <w:bCs/>
        </w:rPr>
        <w:t xml:space="preserve">, </w:t>
      </w:r>
      <w:r w:rsidR="00EC2699" w:rsidRPr="00EC2699">
        <w:t>однако</w:t>
      </w:r>
      <w:r w:rsidRPr="00EC2699">
        <w:t xml:space="preserve"> </w:t>
      </w:r>
      <w:r w:rsidRPr="0012042A">
        <w:t>специализация на добыче углеводородного сырья сопровождается рисками технологической зависимости, высокой чувствительностью к колебаниям внешней конъюнктуры и неравномерностью пространственного развития</w:t>
      </w:r>
      <w:r w:rsidR="00D21072" w:rsidRPr="00D21072">
        <w:t xml:space="preserve"> </w:t>
      </w:r>
      <w:r w:rsidR="00D21072" w:rsidRPr="00D21072">
        <w:rPr>
          <w:b/>
          <w:bCs/>
        </w:rPr>
        <w:t>[10</w:t>
      </w:r>
      <w:r w:rsidR="00D21072">
        <w:rPr>
          <w:b/>
          <w:bCs/>
        </w:rPr>
        <w:t>; 11</w:t>
      </w:r>
      <w:r w:rsidR="00D21072" w:rsidRPr="00D21072">
        <w:rPr>
          <w:b/>
          <w:bCs/>
        </w:rPr>
        <w:t>]</w:t>
      </w:r>
      <w:r w:rsidRPr="0012042A">
        <w:t>. Для Ханты-Мансийского автономного округа – Югры эти обстоятельства определяют необходимость согласования промышленной политики, инновационного развития, накопления человеческого капитала и природоохранной деятельности</w:t>
      </w:r>
      <w:r w:rsidR="00520BCC" w:rsidRPr="00520BCC">
        <w:t xml:space="preserve"> </w:t>
      </w:r>
      <w:r w:rsidR="00520BCC" w:rsidRPr="00520BCC">
        <w:rPr>
          <w:b/>
          <w:bCs/>
        </w:rPr>
        <w:t>[3]</w:t>
      </w:r>
      <w:r w:rsidRPr="0012042A">
        <w:t>.</w:t>
      </w:r>
      <w:r w:rsidR="00EC2699">
        <w:t xml:space="preserve"> И</w:t>
      </w:r>
      <w:r w:rsidRPr="0012042A">
        <w:t xml:space="preserve">нновационное развитие </w:t>
      </w:r>
      <w:r w:rsidR="00EC2699">
        <w:t>не является простой суммой</w:t>
      </w:r>
      <w:r w:rsidRPr="0012042A">
        <w:t xml:space="preserve"> вложений в исследования и разработки, а следствие</w:t>
      </w:r>
      <w:r w:rsidR="00EC2699">
        <w:t>м</w:t>
      </w:r>
      <w:r w:rsidRPr="0012042A">
        <w:t xml:space="preserve"> взаимодействия предприятий, государства, научно-образовательных организаций и институтов развития </w:t>
      </w:r>
      <w:r w:rsidRPr="00520BCC">
        <w:rPr>
          <w:b/>
          <w:bCs/>
        </w:rPr>
        <w:t>[</w:t>
      </w:r>
      <w:r w:rsidR="002C70C5">
        <w:rPr>
          <w:b/>
          <w:bCs/>
        </w:rPr>
        <w:t>6</w:t>
      </w:r>
      <w:r w:rsidRPr="00520BCC">
        <w:rPr>
          <w:b/>
          <w:bCs/>
        </w:rPr>
        <w:t>;</w:t>
      </w:r>
      <w:r w:rsidR="002C70C5">
        <w:rPr>
          <w:b/>
          <w:bCs/>
        </w:rPr>
        <w:t xml:space="preserve"> 7</w:t>
      </w:r>
      <w:r w:rsidRPr="00520BCC">
        <w:rPr>
          <w:b/>
          <w:bCs/>
        </w:rPr>
        <w:t>]</w:t>
      </w:r>
      <w:r w:rsidRPr="0012042A">
        <w:t xml:space="preserve">. Концепция тройной спирали позволяет рассматривать такие взаимодействия как основу производства и распространения </w:t>
      </w:r>
      <w:r w:rsidR="00EC2699">
        <w:t xml:space="preserve">инноваций </w:t>
      </w:r>
      <w:r w:rsidRPr="00520BCC">
        <w:rPr>
          <w:b/>
          <w:bCs/>
        </w:rPr>
        <w:t>[</w:t>
      </w:r>
      <w:r w:rsidR="00520BCC" w:rsidRPr="00520BCC">
        <w:rPr>
          <w:b/>
          <w:bCs/>
        </w:rPr>
        <w:t>8</w:t>
      </w:r>
      <w:r w:rsidRPr="00520BCC">
        <w:rPr>
          <w:b/>
          <w:bCs/>
        </w:rPr>
        <w:t>]</w:t>
      </w:r>
      <w:r w:rsidRPr="0012042A">
        <w:t>. Для ресурсодобывающего региона требуется дополнить данный подход учетом экологического фактора и ограничений, связанных с природно-ресурсной специализацией.</w:t>
      </w:r>
    </w:p>
    <w:p w14:paraId="577158AC" w14:textId="1BBEA223" w:rsidR="00715F81" w:rsidRPr="0012042A" w:rsidRDefault="00EC2699" w:rsidP="00A96894">
      <w:pPr>
        <w:pStyle w:val="1"/>
      </w:pPr>
      <w:r>
        <w:t>У</w:t>
      </w:r>
      <w:r w:rsidRPr="0012042A">
        <w:t xml:space="preserve">стойчивое развитие регионов оценивается преимущественно посредством систем статистических показателей и интегральных индексов </w:t>
      </w:r>
      <w:r w:rsidRPr="00520BCC">
        <w:rPr>
          <w:b/>
          <w:bCs/>
        </w:rPr>
        <w:t>[</w:t>
      </w:r>
      <w:r w:rsidR="00520BCC" w:rsidRPr="00520BCC">
        <w:rPr>
          <w:b/>
          <w:bCs/>
        </w:rPr>
        <w:t>1</w:t>
      </w:r>
      <w:r w:rsidRPr="00520BCC">
        <w:rPr>
          <w:b/>
          <w:bCs/>
        </w:rPr>
        <w:t xml:space="preserve">; </w:t>
      </w:r>
      <w:r w:rsidR="00520BCC" w:rsidRPr="00520BCC">
        <w:rPr>
          <w:b/>
          <w:bCs/>
        </w:rPr>
        <w:t>2</w:t>
      </w:r>
      <w:r w:rsidRPr="00520BCC">
        <w:rPr>
          <w:b/>
          <w:bCs/>
        </w:rPr>
        <w:t>]</w:t>
      </w:r>
      <w:r w:rsidRPr="00EC2699">
        <w:t>, что</w:t>
      </w:r>
      <w:r w:rsidRPr="0012042A">
        <w:t xml:space="preserve"> позволя</w:t>
      </w:r>
      <w:r>
        <w:t>ет</w:t>
      </w:r>
      <w:r w:rsidRPr="0012042A">
        <w:t xml:space="preserve"> установить текущее положение территории, однако в меньшей степени объясняют взаимное влияние технологических, социальных, инвестиционных и экологических факторов во времени</w:t>
      </w:r>
      <w:r>
        <w:t>, что позволяет применить ме</w:t>
      </w:r>
      <w:r w:rsidRPr="0012042A">
        <w:t>тоды системной динамики и имитационного моделирования,</w:t>
      </w:r>
      <w:r>
        <w:t xml:space="preserve"> в том числе и</w:t>
      </w:r>
      <w:r w:rsidRPr="0012042A">
        <w:t xml:space="preserve"> для анализа систем с обратными связями </w:t>
      </w:r>
      <w:r w:rsidRPr="00520BCC">
        <w:rPr>
          <w:b/>
          <w:bCs/>
        </w:rPr>
        <w:t>[</w:t>
      </w:r>
      <w:r w:rsidR="00520BCC" w:rsidRPr="00520BCC">
        <w:rPr>
          <w:b/>
          <w:bCs/>
        </w:rPr>
        <w:t>12</w:t>
      </w:r>
      <w:r w:rsidRPr="00520BCC">
        <w:rPr>
          <w:b/>
          <w:bCs/>
        </w:rPr>
        <w:t xml:space="preserve">; </w:t>
      </w:r>
      <w:r w:rsidR="00520BCC" w:rsidRPr="00520BCC">
        <w:rPr>
          <w:b/>
          <w:bCs/>
        </w:rPr>
        <w:t>9</w:t>
      </w:r>
      <w:r w:rsidRPr="00520BCC">
        <w:rPr>
          <w:b/>
          <w:bCs/>
        </w:rPr>
        <w:t>]</w:t>
      </w:r>
      <w:r w:rsidRPr="0012042A">
        <w:t>.</w:t>
      </w:r>
    </w:p>
    <w:p w14:paraId="56977FB4" w14:textId="3C37CFA1" w:rsidR="00CF19FD" w:rsidRPr="00CF19FD" w:rsidRDefault="00000000" w:rsidP="00A96894">
      <w:pPr>
        <w:pStyle w:val="1"/>
      </w:pPr>
      <w:r w:rsidRPr="0012042A">
        <w:t>Цель исследования состоит в разработке динамической модели, обеспечивающей сценарную оценку взаимосвязанного изменения технологического и социально-экономического потенциала ресурсодобывающего региона с учетом инвестиционно-инновационной активности и экологической нагрузки. Объектом апробации выступает Ханты-Мансийский автономный округ – Югра.</w:t>
      </w:r>
      <w:r w:rsidR="00CF19FD" w:rsidRPr="00CF19FD">
        <w:t xml:space="preserve"> </w:t>
      </w:r>
      <w:r w:rsidR="00CF19FD">
        <w:t>Следует отметить, что н</w:t>
      </w:r>
      <w:r w:rsidR="00CF19FD" w:rsidRPr="00CF19FD">
        <w:t>а данном этапе модель используется как инструмент предварительного сценарного анализа</w:t>
      </w:r>
      <w:r w:rsidR="00EC2699">
        <w:t>, а п</w:t>
      </w:r>
      <w:r w:rsidR="00CF19FD" w:rsidRPr="00CF19FD">
        <w:t xml:space="preserve">редставленные коэффициенты </w:t>
      </w:r>
      <w:r w:rsidR="00EC2699">
        <w:t>носят экспертный характер</w:t>
      </w:r>
      <w:r w:rsidR="00CF19FD" w:rsidRPr="00CF19FD">
        <w:t>.</w:t>
      </w:r>
    </w:p>
    <w:p w14:paraId="35C58C90" w14:textId="7E7FB3B9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  <w:b/>
          <w:bCs/>
        </w:rPr>
      </w:pPr>
      <w:bookmarkStart w:id="3" w:name="методический_подход"/>
      <w:r w:rsidRPr="0012042A">
        <w:rPr>
          <w:rFonts w:asciiTheme="majorHAnsi" w:eastAsia="source serif 4" w:hAnsiTheme="majorHAnsi" w:cstheme="majorHAnsi"/>
          <w:b/>
          <w:bCs/>
          <w:color w:val="000000"/>
        </w:rPr>
        <w:lastRenderedPageBreak/>
        <w:t>Методи</w:t>
      </w:r>
      <w:bookmarkEnd w:id="3"/>
      <w:r w:rsidR="00CF19FD">
        <w:rPr>
          <w:rFonts w:asciiTheme="majorHAnsi" w:eastAsia="source serif 4" w:hAnsiTheme="majorHAnsi" w:cstheme="majorHAnsi"/>
          <w:b/>
          <w:bCs/>
          <w:color w:val="000000"/>
        </w:rPr>
        <w:t>ка</w:t>
      </w:r>
    </w:p>
    <w:p w14:paraId="3EAC26D7" w14:textId="3D11B15E" w:rsidR="00715F81" w:rsidRPr="0012042A" w:rsidRDefault="00000000" w:rsidP="00A96894">
      <w:pPr>
        <w:pStyle w:val="1"/>
      </w:pPr>
      <w:r w:rsidRPr="0012042A">
        <w:t>Под технологическим потенциалом региона понимается совокупная способность региональной экономики создавать, внедрять и распространять новые технологические решения. Его эмпирическая оценка может включать показатели затрат на исследования и разработки, численности исследователей и инженерно-технического персонала, объема инновационной продукции, патентной активности, обеспеченности инфраструктурой.</w:t>
      </w:r>
      <w:r w:rsidR="00EC2699">
        <w:t xml:space="preserve"> В свою очередь, с</w:t>
      </w:r>
      <w:r w:rsidRPr="0012042A">
        <w:t>оциально-экономический потенциал характеризует способность территории обеспечивать устойчивое воспроизводство доходов, занятости, квалифицированных кадров и качества жизни населения</w:t>
      </w:r>
      <w:r w:rsidR="00EC2699">
        <w:t xml:space="preserve">, что включает </w:t>
      </w:r>
      <w:r w:rsidRPr="0012042A">
        <w:t>валовой региональный продукт на душу населения, производительность труда, инвестиции в основной капитал, реальные доходы населения, занятость, миграционное сальдо и параметры социальной инфраструктуры.</w:t>
      </w:r>
      <w:r w:rsidR="00EC2699">
        <w:t xml:space="preserve"> </w:t>
      </w:r>
      <w:r w:rsidRPr="0012042A">
        <w:t>Инвестиционно-инновационная активность отражает объем и направленность ресурсов, используемых для технологического обновления экономики</w:t>
      </w:r>
      <w:r w:rsidR="00D0146E">
        <w:t xml:space="preserve">, индикаторами которой могут быть </w:t>
      </w:r>
      <w:r w:rsidRPr="0012042A">
        <w:t>инвестиции в основной капитал, внутренние затраты на исследования и разработки, затраты организаций на технологические инновации, число инновационно активных организаций и объем государственной поддержки инновационных проектов.</w:t>
      </w:r>
      <w:r w:rsidR="00D0146E">
        <w:t xml:space="preserve"> </w:t>
      </w:r>
      <w:r w:rsidRPr="0012042A">
        <w:t>Экологическая нагрузка трактуется как интегральная характеристика антропогенного воздействия на природную среду региона</w:t>
      </w:r>
      <w:r w:rsidR="00D0146E">
        <w:t xml:space="preserve">, которая </w:t>
      </w:r>
      <w:r w:rsidRPr="0012042A">
        <w:t>основыва</w:t>
      </w:r>
      <w:r w:rsidR="00D0146E">
        <w:t>ет</w:t>
      </w:r>
      <w:r w:rsidRPr="0012042A">
        <w:t>ся на данных о выбросах загрязняющих веществ, образовании отходов, нарушенных землях, сбросах загрязненных сточных вод, аварийности на объектах и затратах на охрану окружающей среды.</w:t>
      </w:r>
    </w:p>
    <w:p w14:paraId="6D5AE231" w14:textId="2380895D" w:rsidR="00715F81" w:rsidRPr="0012042A" w:rsidRDefault="00000000" w:rsidP="00A96894">
      <w:pPr>
        <w:pStyle w:val="1"/>
      </w:pPr>
      <w:r w:rsidRPr="0012042A">
        <w:t>Для каждого блока формир</w:t>
      </w:r>
      <w:r w:rsidR="00D0146E">
        <w:t>уе</w:t>
      </w:r>
      <w:r w:rsidRPr="0012042A">
        <w:t>т</w:t>
      </w:r>
      <w:r w:rsidR="00D0146E">
        <w:t>ся</w:t>
      </w:r>
      <w:r w:rsidRPr="0012042A">
        <w:t xml:space="preserve"> нормированный интегральный индекс. Для показателя-стимулятора используется преобразование:</w:t>
      </w:r>
    </w:p>
    <w:p w14:paraId="52A454B5" w14:textId="77777777" w:rsidR="00715F81" w:rsidRPr="0012042A" w:rsidRDefault="00000000" w:rsidP="00A96894">
      <w:pPr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(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)-min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#(1)</m:t>
              </m:r>
            </m:e>
          </m:eqArr>
        </m:oMath>
      </m:oMathPara>
    </w:p>
    <w:p w14:paraId="0552749B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Для показателя-</w:t>
      </w:r>
      <w:proofErr w:type="spellStart"/>
      <w:r w:rsidRPr="0012042A">
        <w:rPr>
          <w:rFonts w:asciiTheme="majorHAnsi" w:eastAsia="source serif 4" w:hAnsiTheme="majorHAnsi" w:cstheme="majorHAnsi"/>
          <w:color w:val="000000"/>
        </w:rPr>
        <w:t>дестимулятора</w:t>
      </w:r>
      <w:proofErr w:type="spellEnd"/>
      <w:r w:rsidRPr="0012042A">
        <w:rPr>
          <w:rFonts w:asciiTheme="majorHAnsi" w:eastAsia="source serif 4" w:hAnsiTheme="majorHAnsi" w:cstheme="majorHAnsi"/>
          <w:color w:val="000000"/>
        </w:rPr>
        <w:t xml:space="preserve"> применяется обратное нормирование:</w:t>
      </w:r>
    </w:p>
    <w:p w14:paraId="47501169" w14:textId="77777777" w:rsidR="00715F81" w:rsidRPr="0012042A" w:rsidRDefault="00000000" w:rsidP="00A96894">
      <w:pPr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(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max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-min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#(2)</m:t>
              </m:r>
            </m:e>
          </m:eqArr>
        </m:oMath>
      </m:oMathPara>
    </w:p>
    <w:p w14:paraId="65B8BE56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Интегральный индекс соответствующего блока определяется как взвешенная сумма нормированных показателей:</w:t>
      </w:r>
    </w:p>
    <w:p w14:paraId="7B6AD73C" w14:textId="77777777" w:rsidR="00715F81" w:rsidRPr="0012042A" w:rsidRDefault="00000000" w:rsidP="00A96894">
      <w:pPr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theme="majorHAnsi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=1</m:t>
                  </m:r>
                </m:sub>
                <m:sup>
                  <m:r>
                    <w:rPr>
                      <w:rFonts w:ascii="Cambria Math" w:hAnsi="Cambria Math" w:cstheme="majorHAnsi"/>
                      <w:color w:val="00000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 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), 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theme="majorHAnsi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=1</m:t>
                  </m:r>
                </m:sub>
                <m:sup>
                  <m:r>
                    <w:rPr>
                      <w:rFonts w:ascii="Cambria Math" w:hAnsi="Cambria Math" w:cstheme="majorHAnsi"/>
                      <w:color w:val="00000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 </m:t>
                  </m:r>
                </m:e>
              </m:nary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 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w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=1,</m:t>
              </m:r>
              <m:r>
                <w:rPr>
                  <w:rFonts w:ascii="Cambria Math" w:hAnsi="Cambria Math" w:cstheme="majorHAnsi"/>
                  <w:color w:val="000000"/>
                </w:rPr>
                <m:t>#(3)</m:t>
              </m:r>
            </m:e>
          </m:eqArr>
        </m:oMath>
      </m:oMathPara>
    </w:p>
    <w:p w14:paraId="4CD00B83" w14:textId="3E831390" w:rsidR="00715F81" w:rsidRPr="0012042A" w:rsidRDefault="00000000" w:rsidP="00A96894">
      <w:pPr>
        <w:pStyle w:val="1"/>
      </w:pPr>
      <w:r w:rsidRPr="0012042A">
        <w:t xml:space="preserve">где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D0146E">
        <w:t xml:space="preserve"> - </w:t>
      </w:r>
      <w:r w:rsidRPr="0012042A">
        <w:t xml:space="preserve">один из индексов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2042A">
        <w:t xml:space="preserve">,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2042A">
        <w:t xml:space="preserve">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2042A">
        <w:t xml:space="preserve"> или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2042A"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0146E">
        <w:t xml:space="preserve"> - </w:t>
      </w:r>
      <w:r w:rsidRPr="0012042A">
        <w:t>вес i-го показателя. Веса могут определяться равномерно, экспертным методом, методом главных компонент либо на основе энтропийного подхода. Для первой апробации модели целесообразно применить равные веса с последующим анализом чувствительности результата к их изменению.</w:t>
      </w:r>
    </w:p>
    <w:p w14:paraId="64567E06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4" w:name="динамическая_модель"/>
      <w:r w:rsidRPr="0012042A">
        <w:rPr>
          <w:rFonts w:asciiTheme="majorHAnsi" w:eastAsia="source serif 4" w:hAnsiTheme="majorHAnsi" w:cstheme="majorHAnsi"/>
          <w:b/>
          <w:color w:val="000000"/>
        </w:rPr>
        <w:t>Динамическая модель</w:t>
      </w:r>
      <w:bookmarkEnd w:id="4"/>
    </w:p>
    <w:p w14:paraId="5D684A58" w14:textId="48182264" w:rsidR="00EC2699" w:rsidRPr="00CF19FD" w:rsidRDefault="00000000" w:rsidP="00A96894">
      <w:pPr>
        <w:pStyle w:val="1"/>
      </w:pPr>
      <w:r w:rsidRPr="0012042A">
        <w:t xml:space="preserve">Состояние региональной системы описывается четырьмя переменными: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D0146E">
        <w:t xml:space="preserve"> - </w:t>
      </w:r>
      <w:r w:rsidRPr="0012042A">
        <w:t xml:space="preserve">технологический потенциал;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D0146E">
        <w:t xml:space="preserve"> - </w:t>
      </w:r>
      <w:r w:rsidRPr="0012042A">
        <w:t xml:space="preserve">социально-экономический потенциал;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D0146E">
        <w:t xml:space="preserve"> - </w:t>
      </w:r>
      <w:r w:rsidRPr="0012042A">
        <w:t xml:space="preserve">инвестиционно-инновационная активность;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D0146E">
        <w:t xml:space="preserve"> - </w:t>
      </w:r>
      <w:r w:rsidRPr="0012042A">
        <w:t>экологическая нагрузка. Все переменные измеряются в нормированной шкале от 0 до 1 либо в стандартизированной безразмерной шкале.</w:t>
      </w:r>
      <w:r w:rsidR="00CF19FD">
        <w:t xml:space="preserve"> </w:t>
      </w:r>
      <w:r w:rsidR="00CF19FD" w:rsidRPr="00CF19FD">
        <w:t>Официальные данные используются для формирования наблюдаемых индексов и исходного состояния системы. Значения управленческих воздействий после 2024 года задаются как сценарные предположения и не интерпретируются как официальный прогноз органов власти.</w:t>
      </w:r>
      <w:r w:rsidR="00D0146E">
        <w:t xml:space="preserve"> Прочие переменные входят в модель  как функции времени, а именно: </w:t>
      </w:r>
      <w:r w:rsidR="00EC2699" w:rsidRPr="00CF19FD">
        <w:t>H(t)</w:t>
      </w:r>
      <w:r w:rsidR="00D0146E">
        <w:t xml:space="preserve"> - ч</w:t>
      </w:r>
      <w:r w:rsidR="00EC2699" w:rsidRPr="00CF19FD">
        <w:t>еловеческий капитал</w:t>
      </w:r>
      <w:r w:rsidR="00D0146E">
        <w:t xml:space="preserve">, отражающий влияние </w:t>
      </w:r>
      <w:r w:rsidR="00EC2699" w:rsidRPr="00CF19FD">
        <w:t>образовани</w:t>
      </w:r>
      <w:r w:rsidR="00D0146E">
        <w:t>я</w:t>
      </w:r>
      <w:r w:rsidR="00EC2699" w:rsidRPr="00CF19FD">
        <w:t>, подготовк</w:t>
      </w:r>
      <w:r w:rsidR="00D0146E">
        <w:t>и</w:t>
      </w:r>
      <w:r w:rsidR="00EC2699" w:rsidRPr="00CF19FD">
        <w:t xml:space="preserve"> инженерных и научных кадров</w:t>
      </w:r>
      <w:r w:rsidR="00D0146E">
        <w:t xml:space="preserve">, </w:t>
      </w:r>
      <w:r w:rsidR="00EC2699" w:rsidRPr="00CF19FD">
        <w:t>M(t)</w:t>
      </w:r>
      <w:r w:rsidR="00D0146E">
        <w:t xml:space="preserve"> - в</w:t>
      </w:r>
      <w:r w:rsidR="00EC2699" w:rsidRPr="00CF19FD">
        <w:t>нешний макроэкономический импульс</w:t>
      </w:r>
      <w:r w:rsidR="00D0146E">
        <w:t xml:space="preserve">, </w:t>
      </w:r>
      <w:r w:rsidR="00EC2699" w:rsidRPr="00CF19FD">
        <w:t>индекс физического объёма ВРП или промышленного производства</w:t>
      </w:r>
      <w:r w:rsidR="00D0146E">
        <w:t xml:space="preserve">, </w:t>
      </w:r>
      <w:r w:rsidR="00EC2699" w:rsidRPr="00CF19FD">
        <w:t>P(t)</w:t>
      </w:r>
      <w:r w:rsidR="00D0146E">
        <w:t xml:space="preserve"> -- и</w:t>
      </w:r>
      <w:r w:rsidR="00EC2699" w:rsidRPr="00CF19FD">
        <w:t>нтенсивность технологической политики</w:t>
      </w:r>
      <w:r w:rsidR="00D0146E">
        <w:t xml:space="preserve">, </w:t>
      </w:r>
      <w:r w:rsidR="00EC2699" w:rsidRPr="00CF19FD">
        <w:t>нормированный сценарный индекс мер поддержки</w:t>
      </w:r>
      <w:r w:rsidR="00D0146E">
        <w:t xml:space="preserve">, </w:t>
      </w:r>
      <w:r w:rsidR="00EC2699" w:rsidRPr="00CF19FD">
        <w:t>R(t)</w:t>
      </w:r>
      <w:r w:rsidR="00D0146E">
        <w:t xml:space="preserve"> – о</w:t>
      </w:r>
      <w:r w:rsidR="00EC2699" w:rsidRPr="00CF19FD">
        <w:t>граничения</w:t>
      </w:r>
      <w:r w:rsidR="00D0146E">
        <w:t xml:space="preserve"> (</w:t>
      </w:r>
      <w:r w:rsidR="00EC2699" w:rsidRPr="00CF19FD">
        <w:t>финансовые, инфраструктурные и институциональные</w:t>
      </w:r>
      <w:r w:rsidR="00D0146E">
        <w:t xml:space="preserve">), </w:t>
      </w:r>
      <w:r w:rsidR="00EC2699" w:rsidRPr="00CF19FD">
        <w:t>Q(t)</w:t>
      </w:r>
      <w:r w:rsidR="00D0146E">
        <w:t xml:space="preserve"> - и</w:t>
      </w:r>
      <w:r w:rsidR="00EC2699" w:rsidRPr="00CF19FD">
        <w:t>нтенсивность добычи</w:t>
      </w:r>
      <w:r w:rsidR="00D0146E">
        <w:t xml:space="preserve">, а именно объем </w:t>
      </w:r>
      <w:r w:rsidR="00EC2699" w:rsidRPr="00CF19FD">
        <w:t>добыч</w:t>
      </w:r>
      <w:r w:rsidR="00D0146E">
        <w:t>и</w:t>
      </w:r>
      <w:r w:rsidR="00EC2699" w:rsidRPr="00CF19FD">
        <w:t xml:space="preserve"> нефти относительно уровня базового года</w:t>
      </w:r>
      <w:r w:rsidR="00D0146E">
        <w:t xml:space="preserve">, </w:t>
      </w:r>
      <w:r w:rsidR="00EC2699" w:rsidRPr="00CF19FD">
        <w:t>Z(t)</w:t>
      </w:r>
      <w:r w:rsidR="00D0146E">
        <w:t xml:space="preserve"> - п</w:t>
      </w:r>
      <w:r w:rsidR="00EC2699" w:rsidRPr="00CF19FD">
        <w:t>риродоохранные меры</w:t>
      </w:r>
      <w:r w:rsidR="00D0146E">
        <w:t xml:space="preserve">, </w:t>
      </w:r>
      <w:r w:rsidR="00EC2699" w:rsidRPr="00CF19FD">
        <w:t>нормированный сценарный индекс природоохранной политики</w:t>
      </w:r>
    </w:p>
    <w:p w14:paraId="2163BDFF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r w:rsidRPr="0012042A">
        <w:rPr>
          <w:rFonts w:asciiTheme="majorHAnsi" w:eastAsia="source serif 4" w:hAnsiTheme="majorHAnsi" w:cstheme="majorHAnsi"/>
          <w:color w:val="000000"/>
        </w:rPr>
        <w:t>Предлагается следующая система дифференциальных уравнений:</w:t>
      </w:r>
    </w:p>
    <w:p w14:paraId="0A7C997C" w14:textId="04632C1D" w:rsidR="00715F81" w:rsidRPr="0012042A" w:rsidRDefault="00000000" w:rsidP="00A96894">
      <w:pPr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  <w:lang w:val="en-US"/>
                    </w:rPr>
                    <m:t>[</m:t>
                  </m:r>
                  <m:r>
                    <w:rPr>
                      <w:rFonts w:ascii="Cambria Math" w:hAnsi="Cambria Math" w:cstheme="majorHAnsi"/>
                      <w:color w:val="000000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[1-T(t)]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T(t)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#(4)</m:t>
              </m:r>
            </m:e>
          </m:eqArr>
        </m:oMath>
      </m:oMathPara>
    </w:p>
    <w:p w14:paraId="6918E636" w14:textId="03820573" w:rsidR="00715F81" w:rsidRPr="0012042A" w:rsidRDefault="00000000" w:rsidP="00A96894">
      <w:pPr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dS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)]-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S(t)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#(5)</m:t>
              </m:r>
            </m:e>
          </m:eqArr>
        </m:oMath>
      </m:oMathPara>
    </w:p>
    <w:p w14:paraId="7B44A059" w14:textId="303078E0" w:rsidR="00715F81" w:rsidRPr="0012042A" w:rsidRDefault="00000000" w:rsidP="00A96894">
      <w:pPr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dI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</m:t>
              </m:r>
              <m:r>
                <w:rPr>
                  <w:rFonts w:ascii="Cambria Math" w:hAnsi="Cambria Math" w:cstheme="majorHAnsi"/>
                  <w:color w:val="000000"/>
                </w:rPr>
                <m:t>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[1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</m:t>
              </m:r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[</m:t>
                  </m:r>
                  <m:sSub>
                    <m:sSubPr>
                      <m:ctrlPr>
                        <w:rPr>
                          <w:rFonts w:ascii="Cambria Math" w:eastAsiaTheme="minorHAnsi" w:hAnsi="Cambria Math" w:cstheme="majorHAnsi"/>
                          <w:i/>
                          <w:color w:val="000000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color w:val="00000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  <w:color w:val="000000"/>
                    </w:rPr>
                    <m:t>+μ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)]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I(t)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,</m:t>
              </m:r>
              <m:r>
                <w:rPr>
                  <w:rFonts w:ascii="Cambria Math" w:hAnsi="Cambria Math" w:cstheme="majorHAnsi"/>
                  <w:color w:val="000000"/>
                </w:rPr>
                <m:t>#(6)</m:t>
              </m:r>
            </m:e>
          </m:eqArr>
        </m:oMath>
      </m:oMathPara>
    </w:p>
    <w:p w14:paraId="12C86468" w14:textId="4D663A9C" w:rsidR="00715F81" w:rsidRPr="0012042A" w:rsidRDefault="00000000" w:rsidP="00A96894">
      <w:pPr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f>
                <m:f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color w:val="000000"/>
                    </w:rPr>
                    <m:t>dE</m:t>
                  </m:r>
                </m:num>
                <m:den>
                  <m:r>
                    <w:rPr>
                      <w:rFonts w:ascii="Cambria Math" w:hAnsi="Cambria Math" w:cstheme="majorHAnsi"/>
                      <w:color w:val="000000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)[1</m:t>
              </m:r>
              <m:r>
                <w:rPr>
                  <w:rFonts w:ascii="Cambria Math" w:hAnsi="Cambria Math" w:cstheme="majorHAnsi"/>
                  <w:color w:val="000000"/>
                  <w:lang w:val="en-US"/>
                </w:rPr>
                <m:t>-E(t)]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-[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r>
                <w:rPr>
                  <w:rFonts w:ascii="Cambria Math" w:hAnsi="Cambria Math" w:cstheme="majorHAnsi"/>
                  <w:color w:val="000000"/>
                </w:rPr>
                <m:t>ω]E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).</m:t>
              </m:r>
              <m:r>
                <w:rPr>
                  <w:rFonts w:ascii="Cambria Math" w:hAnsi="Cambria Math" w:cstheme="majorHAnsi"/>
                  <w:color w:val="000000"/>
                </w:rPr>
                <m:t>#(7)</m:t>
              </m:r>
            </m:e>
          </m:eqArr>
        </m:oMath>
      </m:oMathPara>
    </w:p>
    <w:p w14:paraId="736689C5" w14:textId="7D68730E" w:rsidR="00715F81" w:rsidRPr="0012042A" w:rsidRDefault="00000000" w:rsidP="00A96894">
      <w:pPr>
        <w:pStyle w:val="1"/>
      </w:pPr>
      <w:r w:rsidRPr="0012042A">
        <w:t xml:space="preserve">В модели </w:t>
      </w:r>
      <w:r w:rsidR="00BC032C">
        <w:t>м</w:t>
      </w:r>
      <w:r w:rsidR="00BC032C" w:rsidRPr="00BC032C">
        <w:t xml:space="preserve">ножители </w:t>
      </w:r>
      <m:oMath>
        <m:r>
          <w:rPr>
            <w:rFonts w:ascii="Cambria Math" w:hAnsi="Cambria Math"/>
          </w:rPr>
          <m:t>1-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),1-S(t),1-I(t) и 1-E(t)</m:t>
        </m:r>
      </m:oMath>
      <w:r w:rsidR="00BC032C" w:rsidRPr="00BC032C">
        <w:t xml:space="preserve"> отражают эффект насыщения. По мере приближения соответствующего индекса к единице потенциал его дальнейшего прироста уменьшается. Отрицательные воздействия заданы пропорционально текущему состоянию. При неотрицательных параметрах и исходных значениях из интервала </w:t>
      </w:r>
      <m:oMath>
        <m:r>
          <w:rPr>
            <w:rFonts w:ascii="Cambria Math" w:hAnsi="Cambria Math"/>
          </w:rPr>
          <m:t>[0,1]</m:t>
        </m:r>
      </m:oMath>
      <w:r w:rsidR="00BC032C" w:rsidRPr="00BC032C">
        <w:t xml:space="preserve"> такая структура препятствует выходу переменных за содержательно допустимые границы. </w:t>
      </w:r>
      <m:oMath>
        <m:r>
          <w:rPr>
            <w:rFonts w:ascii="Cambria Math" w:hAnsi="Cambria Math"/>
          </w:rPr>
          <m:t>M(t)</m:t>
        </m:r>
      </m:oMath>
      <w:r w:rsidR="00D0146E">
        <w:t xml:space="preserve"> - </w:t>
      </w:r>
      <w:r w:rsidR="00BC032C" w:rsidRPr="00BC032C">
        <w:t xml:space="preserve">внешний макроэкономический импульс, характеризующий общую экономическую конъюнктуру и не включённый непосредственно в состав индекса </w:t>
      </w:r>
      <m:oMath>
        <m:r>
          <w:rPr>
            <w:rFonts w:ascii="Cambria Math" w:hAnsi="Cambria Math"/>
          </w:rPr>
          <m:t>S(t)</m:t>
        </m:r>
      </m:oMath>
      <w:r w:rsidR="00DA3687" w:rsidRPr="00DA3687">
        <w:t xml:space="preserve">. </w:t>
      </w:r>
      <w:r w:rsidRPr="0012042A">
        <w:t xml:space="preserve">Параметры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12042A">
        <w:t xml:space="preserve"> отражают положительные связи между компонентами системы. Параметры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12042A">
        <w:t xml:space="preserve"> характеризуют естественное затухание эффекта, технологическое старение, выбытие фондов и необходимость постоянного воспроизводства ресурсов.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12042A"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12042A">
        <w:t xml:space="preserve"> выражают отрицательное влияние экологической нагрузки на технологическое и социально-экономическое развитие. 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12042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12042A">
        <w:t xml:space="preserve"> и </w:t>
      </w:r>
      <m:oMath>
        <m:r>
          <w:rPr>
            <w:rFonts w:ascii="Cambria Math" w:hAnsi="Cambria Math"/>
          </w:rPr>
          <m:t>ω</m:t>
        </m:r>
      </m:oMath>
      <w:r w:rsidRPr="0012042A">
        <w:t xml:space="preserve"> описывают соответственно прирост нагрузки вследствие добычи, ее снижение под влиянием природоохранных мер и естественное восстановление природной среды.</w:t>
      </w:r>
    </w:p>
    <w:p w14:paraId="3FC02D19" w14:textId="77777777" w:rsidR="00715F81" w:rsidRPr="0012042A" w:rsidRDefault="00000000" w:rsidP="00A96894">
      <w:pPr>
        <w:pStyle w:val="1"/>
      </w:pPr>
      <w:r w:rsidRPr="0012042A">
        <w:t xml:space="preserve">Содержательно уравнение (4) означает, что технологический потенциал возрастает при росте инновационных инвестиций и человеческого капитала, но снижается под действием технологического устаревания и экологических ограничений. Уравнение (5) показывает влияние технологического развития и экономической результативности на социально-экономический потенциал. Уравнение (6) описывает зависимость инвестиционно-инновационной активности от качества промышленной политики и состояния региональной социально-экономической среды. Уравнение (7) учитывает экологические последствия </w:t>
      </w:r>
      <w:proofErr w:type="spellStart"/>
      <w:r w:rsidRPr="0012042A">
        <w:t>ресурсодобычи</w:t>
      </w:r>
      <w:proofErr w:type="spellEnd"/>
      <w:r w:rsidRPr="0012042A">
        <w:t xml:space="preserve"> и компенсирующее действие природоохранных мероприятий.</w:t>
      </w:r>
    </w:p>
    <w:p w14:paraId="4A8EEC87" w14:textId="0A95F104" w:rsidR="00715F81" w:rsidRPr="0012042A" w:rsidRDefault="00000000" w:rsidP="00A96894">
      <w:pPr>
        <w:pStyle w:val="1"/>
      </w:pPr>
      <w:r w:rsidRPr="0012042A">
        <w:t>Для получения сводной оценки может быть введен индекс сбалансированного устойчивого развития</w:t>
      </w:r>
      <w:r w:rsidR="00820F71" w:rsidRPr="00820F71">
        <w:t xml:space="preserve"> (8)</w:t>
      </w:r>
      <w:r w:rsidRPr="0012042A">
        <w:t>:</w:t>
      </w:r>
    </w:p>
    <w:p w14:paraId="6814C5B7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S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)+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)-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λ</m:t>
                  </m:r>
                </m:e>
                <m:sub>
                  <m:r>
                    <w:rPr>
                      <w:rFonts w:ascii="Cambria Math" w:hAnsi="Cambria Math" w:cstheme="majorHAnsi"/>
                      <w:color w:val="000000"/>
                    </w:rPr>
                    <m:t>E</m:t>
                  </m:r>
                </m:sub>
              </m:sSub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</m:t>
              </m:r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),</m:t>
              </m:r>
              <m:r>
                <w:rPr>
                  <w:rFonts w:ascii="Cambria Math" w:hAnsi="Cambria Math" w:cstheme="majorHAnsi"/>
                  <w:color w:val="000000"/>
                </w:rPr>
                <m:t>#(8)</m:t>
              </m:r>
            </m:e>
          </m:eqArr>
        </m:oMath>
      </m:oMathPara>
    </w:p>
    <w:p w14:paraId="7FF1F30A" w14:textId="438F4BD4" w:rsidR="00715F81" w:rsidRPr="0012042A" w:rsidRDefault="00000000" w:rsidP="00A96894">
      <w:pPr>
        <w:pStyle w:val="1"/>
      </w:pPr>
      <w:r w:rsidRPr="0012042A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D0146E">
        <w:t xml:space="preserve"> - </w:t>
      </w:r>
      <w:r w:rsidRPr="0012042A">
        <w:t xml:space="preserve">весовые коэффициенты, отражающие приоритетность технологической, социальной, инвестиционной и экологической компонент. Использование индекса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2042A">
        <w:t xml:space="preserve"> не заменяет анализа отдельных состояний системы, но дает возможность сопоставлять сценарии по единому критерию.</w:t>
      </w:r>
    </w:p>
    <w:p w14:paraId="0005C69D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5" w:name="параметризация_и_данные"/>
      <w:r w:rsidRPr="0012042A">
        <w:rPr>
          <w:rFonts w:asciiTheme="majorHAnsi" w:eastAsia="source serif 4" w:hAnsiTheme="majorHAnsi" w:cstheme="majorHAnsi"/>
          <w:b/>
          <w:color w:val="000000"/>
        </w:rPr>
        <w:t>Параметризация и данные</w:t>
      </w:r>
      <w:bookmarkEnd w:id="5"/>
    </w:p>
    <w:p w14:paraId="2CE08650" w14:textId="61C2027D" w:rsidR="00DA3687" w:rsidRPr="00022457" w:rsidRDefault="00000000" w:rsidP="00A96894">
      <w:pPr>
        <w:pStyle w:val="1"/>
      </w:pPr>
      <w:r w:rsidRPr="0012042A">
        <w:t>Источником исходной информации для модели могут выступать официальные данные Росстата и его территориального органа, сведения Единой межведомственной информационно-статистической системы, данные Роспатента, Министерства науки и высшего образования Российской Федерации, органов государственной власти ХМАО–Югры и отраслевых компаний.</w:t>
      </w:r>
      <w:r w:rsidR="00764964" w:rsidRPr="00764964">
        <w:rPr>
          <w:b/>
          <w:bCs/>
        </w:rPr>
        <w:t>[4]</w:t>
      </w:r>
      <w:r w:rsidRPr="0012042A">
        <w:t xml:space="preserve"> Для обеспечения сопоставимости целесообразно использовать годовые ряды за период не менее 10–15 лет.</w:t>
      </w:r>
      <w:r w:rsidR="00DA3687" w:rsidRPr="00DA3687">
        <w:t xml:space="preserve"> </w:t>
      </w:r>
      <w:r w:rsidRPr="0012042A">
        <w:t>Значения параметров модели</w:t>
      </w:r>
      <w:r w:rsidR="00DA3687" w:rsidRPr="00DA3687">
        <w:t xml:space="preserve"> в статье</w:t>
      </w:r>
      <w:r w:rsidRPr="0012042A">
        <w:t xml:space="preserve"> использ</w:t>
      </w:r>
      <w:r w:rsidR="00DA3687">
        <w:t>уют</w:t>
      </w:r>
      <w:r w:rsidRPr="0012042A">
        <w:t xml:space="preserve"> смешанный подход: статистическ</w:t>
      </w:r>
      <w:r w:rsidR="00DA3687">
        <w:t>ая</w:t>
      </w:r>
      <w:r w:rsidRPr="0012042A">
        <w:t xml:space="preserve"> калибровк</w:t>
      </w:r>
      <w:r w:rsidR="00DA3687">
        <w:t xml:space="preserve">а и </w:t>
      </w:r>
      <w:r w:rsidRPr="0012042A">
        <w:t>сценарные значения.</w:t>
      </w:r>
      <w:r w:rsidR="00DA3687">
        <w:t xml:space="preserve"> </w:t>
      </w:r>
      <w:r w:rsidRPr="0012042A">
        <w:t>При численном решении должны быть заданы начальные условия</w:t>
      </w:r>
      <w:r w:rsidR="00DA3687">
        <w:t>, которые</w:t>
      </w:r>
      <w:r w:rsidR="00DA3687" w:rsidRPr="0012042A">
        <w:t xml:space="preserve"> определяются по последнему доступному году наблюдений</w:t>
      </w:r>
      <w:r w:rsidR="00DA3687">
        <w:t xml:space="preserve"> (9)</w:t>
      </w:r>
      <w:r w:rsidR="00DA3687" w:rsidRPr="0012042A">
        <w:t xml:space="preserve">. Решение системы (4)–(7) выполняется численно в программной среде Python с применением функции </w:t>
      </w:r>
      <w:proofErr w:type="spellStart"/>
      <w:r w:rsidR="00DA3687" w:rsidRPr="0012042A">
        <w:rPr>
          <w:rStyle w:val="VerbatimChar"/>
          <w:rFonts w:asciiTheme="majorHAnsi" w:eastAsia="menlo" w:hAnsiTheme="majorHAnsi"/>
          <w:sz w:val="24"/>
          <w:shd w:val="clear" w:color="auto" w:fill="F8F8FA"/>
        </w:rPr>
        <w:t>solve_ivp</w:t>
      </w:r>
      <w:proofErr w:type="spellEnd"/>
      <w:r w:rsidR="00DA3687" w:rsidRPr="0012042A">
        <w:t xml:space="preserve"> библиотеки </w:t>
      </w:r>
      <w:proofErr w:type="spellStart"/>
      <w:proofErr w:type="gramStart"/>
      <w:r w:rsidR="00DA3687" w:rsidRPr="0012042A">
        <w:rPr>
          <w:rStyle w:val="VerbatimChar"/>
          <w:rFonts w:asciiTheme="majorHAnsi" w:eastAsia="menlo" w:hAnsiTheme="majorHAnsi"/>
          <w:sz w:val="24"/>
          <w:shd w:val="clear" w:color="auto" w:fill="F8F8FA"/>
        </w:rPr>
        <w:t>scipy.integrate</w:t>
      </w:r>
      <w:proofErr w:type="spellEnd"/>
      <w:proofErr w:type="gramEnd"/>
      <w:r w:rsidR="00DA3687" w:rsidRPr="0012042A">
        <w:t xml:space="preserve">. Техническая реализация приведена в </w:t>
      </w:r>
      <w:r w:rsidR="00DA3687">
        <w:t>публичном репозитории (</w:t>
      </w:r>
      <w:hyperlink r:id="rId6" w:history="1">
        <w:r w:rsidR="00DA3687" w:rsidRPr="00413E74">
          <w:rPr>
            <w:rStyle w:val="a6"/>
            <w:b/>
          </w:rPr>
          <w:t>https://github.com/Alex-Samarkin/NVartovsk2026</w:t>
        </w:r>
      </w:hyperlink>
      <w:r w:rsidR="00DA3687">
        <w:t>)</w:t>
      </w:r>
      <w:r w:rsidR="00DA3687" w:rsidRPr="0012042A">
        <w:t>.</w:t>
      </w:r>
    </w:p>
    <w:p w14:paraId="3BFFDF3F" w14:textId="77777777" w:rsidR="00715F81" w:rsidRPr="0012042A" w:rsidRDefault="00000000" w:rsidP="00CF19FD">
      <w:pPr>
        <w:spacing w:after="210"/>
        <w:rPr>
          <w:rFonts w:asciiTheme="majorHAnsi" w:hAnsiTheme="majorHAnsi" w:cstheme="majorHAnsi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ajorHAnsi"/>
                  <w:color w:val="000000"/>
                </w:rPr>
              </m:ctrlPr>
            </m:eqArrPr>
            <m:e>
              <m:r>
                <w:rPr>
                  <w:rFonts w:ascii="Cambria Math" w:hAnsi="Cambria Math" w:cstheme="majorHAnsi"/>
                  <w:color w:val="000000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 xml:space="preserve">, </m:t>
              </m:r>
              <m:r>
                <w:rPr>
                  <w:rFonts w:ascii="Cambria Math" w:hAnsi="Cambria Math" w:cstheme="majorHAnsi"/>
                  <w:color w:val="000000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(0)=</m:t>
              </m:r>
              <m:sSub>
                <m:sSubPr>
                  <m:ctrlPr>
                    <w:rPr>
                      <w:rFonts w:ascii="Cambria Math" w:hAnsi="Cambria Math" w:cstheme="majorHAnsi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color w:val="000000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color w:val="000000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ajorHAnsi"/>
                  <w:color w:val="000000"/>
                </w:rPr>
                <m:t>.</m:t>
              </m:r>
              <m:r>
                <w:rPr>
                  <w:rFonts w:ascii="Cambria Math" w:hAnsi="Cambria Math" w:cstheme="majorHAnsi"/>
                  <w:color w:val="000000"/>
                </w:rPr>
                <m:t>#(9)</m:t>
              </m:r>
            </m:e>
          </m:eqArr>
        </m:oMath>
      </m:oMathPara>
    </w:p>
    <w:p w14:paraId="3E36DF7E" w14:textId="0148C78C" w:rsidR="00AC4073" w:rsidRPr="00AC4073" w:rsidRDefault="00AC4073" w:rsidP="00A96894">
      <w:pPr>
        <w:pStyle w:val="1"/>
      </w:pPr>
      <w:r w:rsidRPr="00AC4073">
        <w:t>Единицей модельного времени принят один календарный год. Начальное состояние соответствует 2024 году, горизонт сценарного прогнозирования</w:t>
      </w:r>
      <w:r w:rsidR="00D0146E">
        <w:t xml:space="preserve"> - </w:t>
      </w:r>
      <w:r w:rsidRPr="00AC4073">
        <w:t>2030 году. Для визуализации численное решение выводится с месячным шагом, однако сценарные предпосылки задаются на годовой шкале</w:t>
      </w:r>
      <w:r w:rsidR="00DA3687">
        <w:t xml:space="preserve">, при этом </w:t>
      </w:r>
      <w:r w:rsidRPr="00AC4073">
        <w:t>внешн</w:t>
      </w:r>
      <w:r>
        <w:t>ие воздействия линейно интерполируются по годам, а коэффициенты естественного затухания представлены через периоды полураспада.</w:t>
      </w:r>
      <w:r w:rsidR="00A96894">
        <w:t xml:space="preserve"> </w:t>
      </w:r>
      <w:r w:rsidRPr="00AC4073">
        <w:t>Для интенсивности добычи уровень 2024 года принят равным единице. К 2030 году в базовой траектории предполагается снижение индекса до 0,90. Направление изменения согласуется с наблюдаемой динамикой зрелого нефтедобывающего региона: в официальных документах приводятся значения добычи 223,1 млн тонн в 2022 году, 216,0 млн тонн в 2023 году и последующее снижение прогнозной оценки</w:t>
      </w:r>
      <w:r w:rsidR="00764964" w:rsidRPr="00764964">
        <w:t xml:space="preserve"> </w:t>
      </w:r>
      <w:r w:rsidR="00764964" w:rsidRPr="00764964">
        <w:rPr>
          <w:b/>
          <w:bCs/>
        </w:rPr>
        <w:t>[4]</w:t>
      </w:r>
      <w:r w:rsidR="00764964" w:rsidRPr="00764964">
        <w:t>.</w:t>
      </w:r>
      <w:r w:rsidRPr="00AC4073">
        <w:t xml:space="preserve"> Начальное значение индекса промышленной и инновационной политики принято равным 0,30. Умеренный базовый уровень выбран с учётом того, что затраты на инновации организаций Югры снизились со 133,0 млрд рублей в 2020 году до 35,7 млрд рублей в 2024 году, а технологические инновации в 2024 году осуществляли 9,5% обследованных организаций</w:t>
      </w:r>
      <w:r w:rsidR="00764964" w:rsidRPr="00764964">
        <w:t xml:space="preserve"> </w:t>
      </w:r>
      <w:r w:rsidR="00764964" w:rsidRPr="00764964">
        <w:rPr>
          <w:b/>
          <w:bCs/>
        </w:rPr>
        <w:t>[4]</w:t>
      </w:r>
      <w:r w:rsidRPr="00AC4073">
        <w:t>. Повышение индекса до 0,55 в технологическом сценарии представляет целевое управленческое воздействие, а не продолжение наблюдавшегося тренда.</w:t>
      </w:r>
    </w:p>
    <w:p w14:paraId="27535866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bookmarkStart w:id="6" w:name="сценарии_развития"/>
      <w:r w:rsidRPr="0012042A">
        <w:rPr>
          <w:rFonts w:asciiTheme="majorHAnsi" w:eastAsia="source serif 4" w:hAnsiTheme="majorHAnsi" w:cstheme="majorHAnsi"/>
          <w:b/>
          <w:color w:val="000000"/>
        </w:rPr>
        <w:t>Сценарии развития</w:t>
      </w:r>
      <w:bookmarkEnd w:id="6"/>
    </w:p>
    <w:p w14:paraId="4372FAD3" w14:textId="694AC1CA" w:rsidR="00715F81" w:rsidRDefault="00000000" w:rsidP="00CF19FD">
      <w:pPr>
        <w:spacing w:after="210"/>
        <w:ind w:firstLine="567"/>
        <w:jc w:val="both"/>
        <w:rPr>
          <w:rFonts w:asciiTheme="majorHAnsi" w:eastAsia="source serif 4" w:hAnsiTheme="majorHAnsi" w:cstheme="majorHAnsi"/>
          <w:color w:val="000000"/>
        </w:rPr>
      </w:pPr>
      <w:r w:rsidRPr="0012042A">
        <w:rPr>
          <w:rFonts w:asciiTheme="majorHAnsi" w:eastAsia="source serif 4" w:hAnsiTheme="majorHAnsi" w:cstheme="majorHAnsi"/>
          <w:color w:val="000000"/>
        </w:rPr>
        <w:t>Для оценки последствий промышленной политики рассм</w:t>
      </w:r>
      <w:r w:rsidR="00A96894">
        <w:rPr>
          <w:rFonts w:asciiTheme="majorHAnsi" w:eastAsia="source serif 4" w:hAnsiTheme="majorHAnsi" w:cstheme="majorHAnsi"/>
          <w:color w:val="000000"/>
        </w:rPr>
        <w:t>а</w:t>
      </w:r>
      <w:r w:rsidRPr="0012042A">
        <w:rPr>
          <w:rFonts w:asciiTheme="majorHAnsi" w:eastAsia="source serif 4" w:hAnsiTheme="majorHAnsi" w:cstheme="majorHAnsi"/>
          <w:color w:val="000000"/>
        </w:rPr>
        <w:t>т</w:t>
      </w:r>
      <w:r w:rsidR="00A96894">
        <w:rPr>
          <w:rFonts w:asciiTheme="majorHAnsi" w:eastAsia="source serif 4" w:hAnsiTheme="majorHAnsi" w:cstheme="majorHAnsi"/>
          <w:color w:val="000000"/>
        </w:rPr>
        <w:t>риваются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 </w:t>
      </w:r>
      <w:r w:rsidR="00AC4073">
        <w:rPr>
          <w:rFonts w:asciiTheme="majorHAnsi" w:eastAsia="source serif 4" w:hAnsiTheme="majorHAnsi" w:cstheme="majorHAnsi"/>
          <w:color w:val="000000"/>
        </w:rPr>
        <w:t>четыре</w:t>
      </w:r>
      <w:r w:rsidRPr="0012042A">
        <w:rPr>
          <w:rFonts w:asciiTheme="majorHAnsi" w:eastAsia="source serif 4" w:hAnsiTheme="majorHAnsi" w:cstheme="majorHAnsi"/>
          <w:color w:val="000000"/>
        </w:rPr>
        <w:t xml:space="preserve"> сценария.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875"/>
        <w:gridCol w:w="1421"/>
        <w:gridCol w:w="2122"/>
        <w:gridCol w:w="1901"/>
        <w:gridCol w:w="2309"/>
      </w:tblGrid>
      <w:tr w:rsidR="00AC4073" w:rsidRPr="00AC4073" w14:paraId="615CC763" w14:textId="77777777" w:rsidTr="00AC4073">
        <w:tc>
          <w:tcPr>
            <w:tcW w:w="974" w:type="pct"/>
            <w:hideMark/>
          </w:tcPr>
          <w:p w14:paraId="68C36CFC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738" w:type="pct"/>
            <w:hideMark/>
          </w:tcPr>
          <w:p w14:paraId="2C38F0EA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Базовый</w:t>
            </w:r>
          </w:p>
        </w:tc>
        <w:tc>
          <w:tcPr>
            <w:tcW w:w="1102" w:type="pct"/>
            <w:hideMark/>
          </w:tcPr>
          <w:p w14:paraId="1F7F1408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Технологический</w:t>
            </w:r>
          </w:p>
        </w:tc>
        <w:tc>
          <w:tcPr>
            <w:tcW w:w="987" w:type="pct"/>
            <w:hideMark/>
          </w:tcPr>
          <w:p w14:paraId="69303445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Экологический</w:t>
            </w:r>
          </w:p>
        </w:tc>
        <w:tc>
          <w:tcPr>
            <w:tcW w:w="1199" w:type="pct"/>
            <w:hideMark/>
          </w:tcPr>
          <w:p w14:paraId="79523233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Комбинированный</w:t>
            </w:r>
          </w:p>
        </w:tc>
      </w:tr>
      <w:tr w:rsidR="00AC4073" w:rsidRPr="00AC4073" w14:paraId="19BD462C" w14:textId="77777777" w:rsidTr="00AC4073">
        <w:tc>
          <w:tcPr>
            <w:tcW w:w="974" w:type="pct"/>
            <w:hideMark/>
          </w:tcPr>
          <w:p w14:paraId="3F59FA5B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H: 2024 → 2030</w:t>
            </w:r>
          </w:p>
        </w:tc>
        <w:tc>
          <w:tcPr>
            <w:tcW w:w="738" w:type="pct"/>
            <w:hideMark/>
          </w:tcPr>
          <w:p w14:paraId="79E64348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1102" w:type="pct"/>
            <w:hideMark/>
          </w:tcPr>
          <w:p w14:paraId="11B01346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987" w:type="pct"/>
            <w:hideMark/>
          </w:tcPr>
          <w:p w14:paraId="2AE0307C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  <w:tc>
          <w:tcPr>
            <w:tcW w:w="1199" w:type="pct"/>
            <w:hideMark/>
          </w:tcPr>
          <w:p w14:paraId="75B0C688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0,55 → 0,55</w:t>
            </w:r>
          </w:p>
        </w:tc>
      </w:tr>
      <w:tr w:rsidR="00AC4073" w:rsidRPr="00AC4073" w14:paraId="4E8387C3" w14:textId="77777777" w:rsidTr="00AC4073">
        <w:tc>
          <w:tcPr>
            <w:tcW w:w="974" w:type="pct"/>
            <w:hideMark/>
          </w:tcPr>
          <w:p w14:paraId="0D39B5B8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M: 2024 → 2030</w:t>
            </w:r>
          </w:p>
        </w:tc>
        <w:tc>
          <w:tcPr>
            <w:tcW w:w="738" w:type="pct"/>
            <w:hideMark/>
          </w:tcPr>
          <w:p w14:paraId="79FCFC01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1102" w:type="pct"/>
            <w:hideMark/>
          </w:tcPr>
          <w:p w14:paraId="795C99FC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987" w:type="pct"/>
            <w:hideMark/>
          </w:tcPr>
          <w:p w14:paraId="708C60D7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  <w:tc>
          <w:tcPr>
            <w:tcW w:w="1199" w:type="pct"/>
            <w:hideMark/>
          </w:tcPr>
          <w:p w14:paraId="546C0187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0,50 → 0,50</w:t>
            </w:r>
          </w:p>
        </w:tc>
      </w:tr>
      <w:tr w:rsidR="00AC4073" w:rsidRPr="00AC4073" w14:paraId="4945F46B" w14:textId="77777777" w:rsidTr="00AC4073">
        <w:tc>
          <w:tcPr>
            <w:tcW w:w="974" w:type="pct"/>
            <w:hideMark/>
          </w:tcPr>
          <w:p w14:paraId="26FC1703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P: 2024 → 2030</w:t>
            </w:r>
          </w:p>
        </w:tc>
        <w:tc>
          <w:tcPr>
            <w:tcW w:w="738" w:type="pct"/>
            <w:hideMark/>
          </w:tcPr>
          <w:p w14:paraId="300B9965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0,34</w:t>
            </w:r>
          </w:p>
        </w:tc>
        <w:tc>
          <w:tcPr>
            <w:tcW w:w="1102" w:type="pct"/>
            <w:hideMark/>
          </w:tcPr>
          <w:p w14:paraId="48088039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0,55</w:t>
            </w:r>
          </w:p>
        </w:tc>
        <w:tc>
          <w:tcPr>
            <w:tcW w:w="987" w:type="pct"/>
            <w:hideMark/>
          </w:tcPr>
          <w:p w14:paraId="092BDDF5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0,34</w:t>
            </w:r>
          </w:p>
        </w:tc>
        <w:tc>
          <w:tcPr>
            <w:tcW w:w="1199" w:type="pct"/>
            <w:hideMark/>
          </w:tcPr>
          <w:p w14:paraId="72EEABE9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0,30 → 0,55</w:t>
            </w:r>
          </w:p>
        </w:tc>
      </w:tr>
      <w:tr w:rsidR="00AC4073" w:rsidRPr="00AC4073" w14:paraId="7AE54F0E" w14:textId="77777777" w:rsidTr="00AC4073">
        <w:tc>
          <w:tcPr>
            <w:tcW w:w="974" w:type="pct"/>
            <w:hideMark/>
          </w:tcPr>
          <w:p w14:paraId="1BBE8092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R: 2024 → 2030</w:t>
            </w:r>
          </w:p>
        </w:tc>
        <w:tc>
          <w:tcPr>
            <w:tcW w:w="738" w:type="pct"/>
            <w:hideMark/>
          </w:tcPr>
          <w:p w14:paraId="76571064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1102" w:type="pct"/>
            <w:hideMark/>
          </w:tcPr>
          <w:p w14:paraId="051CC4BE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987" w:type="pct"/>
            <w:hideMark/>
          </w:tcPr>
          <w:p w14:paraId="3BB45C9A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  <w:tc>
          <w:tcPr>
            <w:tcW w:w="1199" w:type="pct"/>
            <w:hideMark/>
          </w:tcPr>
          <w:p w14:paraId="115166E6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0,45 → 0,40</w:t>
            </w:r>
          </w:p>
        </w:tc>
      </w:tr>
      <w:tr w:rsidR="00AC4073" w:rsidRPr="00AC4073" w14:paraId="458BA74F" w14:textId="77777777" w:rsidTr="00AC4073">
        <w:tc>
          <w:tcPr>
            <w:tcW w:w="974" w:type="pct"/>
            <w:hideMark/>
          </w:tcPr>
          <w:p w14:paraId="4A16D38E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Q: 2024 → 2030</w:t>
            </w:r>
          </w:p>
        </w:tc>
        <w:tc>
          <w:tcPr>
            <w:tcW w:w="738" w:type="pct"/>
            <w:hideMark/>
          </w:tcPr>
          <w:p w14:paraId="68BED802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1102" w:type="pct"/>
            <w:hideMark/>
          </w:tcPr>
          <w:p w14:paraId="7C71B45E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987" w:type="pct"/>
            <w:hideMark/>
          </w:tcPr>
          <w:p w14:paraId="31216CB7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  <w:tc>
          <w:tcPr>
            <w:tcW w:w="1199" w:type="pct"/>
            <w:hideMark/>
          </w:tcPr>
          <w:p w14:paraId="6A5477FA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1,00 → 0,90</w:t>
            </w:r>
          </w:p>
        </w:tc>
      </w:tr>
      <w:tr w:rsidR="00AC4073" w:rsidRPr="00AC4073" w14:paraId="7BA30321" w14:textId="77777777" w:rsidTr="00AC4073">
        <w:tc>
          <w:tcPr>
            <w:tcW w:w="974" w:type="pct"/>
            <w:hideMark/>
          </w:tcPr>
          <w:p w14:paraId="199E5459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Z: 2024 → 2030</w:t>
            </w:r>
          </w:p>
        </w:tc>
        <w:tc>
          <w:tcPr>
            <w:tcW w:w="738" w:type="pct"/>
            <w:hideMark/>
          </w:tcPr>
          <w:p w14:paraId="6A169B38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0,42</w:t>
            </w:r>
          </w:p>
        </w:tc>
        <w:tc>
          <w:tcPr>
            <w:tcW w:w="1102" w:type="pct"/>
            <w:hideMark/>
          </w:tcPr>
          <w:p w14:paraId="004D98BA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0,42</w:t>
            </w:r>
          </w:p>
        </w:tc>
        <w:tc>
          <w:tcPr>
            <w:tcW w:w="987" w:type="pct"/>
            <w:hideMark/>
          </w:tcPr>
          <w:p w14:paraId="3BE8C1D5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0,65</w:t>
            </w:r>
          </w:p>
        </w:tc>
        <w:tc>
          <w:tcPr>
            <w:tcW w:w="1199" w:type="pct"/>
            <w:hideMark/>
          </w:tcPr>
          <w:p w14:paraId="6B60CCF0" w14:textId="77777777" w:rsidR="00AC4073" w:rsidRPr="00AC4073" w:rsidRDefault="00AC4073" w:rsidP="00A96894">
            <w:p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AC4073">
              <w:rPr>
                <w:rFonts w:asciiTheme="majorHAnsi" w:hAnsiTheme="majorHAnsi" w:cstheme="majorHAnsi"/>
                <w:sz w:val="22"/>
                <w:szCs w:val="22"/>
              </w:rPr>
              <w:t>0,35 → 0,65</w:t>
            </w:r>
          </w:p>
        </w:tc>
      </w:tr>
    </w:tbl>
    <w:p w14:paraId="19BED168" w14:textId="77777777" w:rsidR="00AC4073" w:rsidRPr="0012042A" w:rsidRDefault="00AC4073" w:rsidP="00AC4073">
      <w:pPr>
        <w:spacing w:after="210"/>
        <w:jc w:val="both"/>
        <w:rPr>
          <w:rFonts w:asciiTheme="majorHAnsi" w:hAnsiTheme="majorHAnsi" w:cstheme="majorHAnsi"/>
        </w:rPr>
      </w:pPr>
    </w:p>
    <w:p w14:paraId="4F48EAF2" w14:textId="77777777" w:rsidR="00292069" w:rsidRDefault="00292069" w:rsidP="00A96894">
      <w:pPr>
        <w:pStyle w:val="1"/>
      </w:pPr>
      <w:r w:rsidRPr="00292069">
        <w:t>Значения человеческого капитала, макроэкономического импульса, институциональных ограничений и добычи одинаковы во всех сценариях. Поэтому различия результатов можно связывать непосредственно с технологическими и природоохранными воздействиями, а не с одновременным улучшением всех предпосылок.</w:t>
      </w:r>
    </w:p>
    <w:p w14:paraId="335754BA" w14:textId="30E1B9A7" w:rsidR="00715F81" w:rsidRDefault="00AC4073" w:rsidP="00A96894">
      <w:pPr>
        <w:pStyle w:val="1"/>
      </w:pPr>
      <w:r w:rsidRPr="00AC4073">
        <w:t xml:space="preserve">Технологический сценарий </w:t>
      </w:r>
      <w:r w:rsidR="00292069">
        <w:t xml:space="preserve">(см. рис.1 и 2, а также таблицу 1 здесь и далее), </w:t>
      </w:r>
      <w:r w:rsidRPr="00AC4073">
        <w:t xml:space="preserve">преимущественно увеличивает инвестиционно-инновационную активность: значение </w:t>
      </w:r>
      <m:oMath>
        <m:r>
          <w:rPr>
            <w:rFonts w:ascii="Cambria Math" w:hAnsi="Cambria Math"/>
          </w:rPr>
          <m:t>I(2030)</m:t>
        </m:r>
      </m:oMath>
      <w:r w:rsidRPr="00AC4073">
        <w:t xml:space="preserve"> возрастает с 0,548 до 0,594. Экологический сценарий снижает нагрузку</w:t>
      </w:r>
      <m:oMath>
        <m:r>
          <w:rPr>
            <w:rFonts w:ascii="Cambria Math" w:hAnsi="Cambria Math"/>
          </w:rPr>
          <m:t xml:space="preserve"> E(2030)</m:t>
        </m:r>
      </m:oMath>
      <w:r w:rsidRPr="00AC4073">
        <w:t xml:space="preserve"> с 0,520 до 0,470. Комбинированный сценарий объединяет оба эффекта и обеспечивает наибольшее значение сводного индекса</w:t>
      </w:r>
      <w:r w:rsidR="00D0146E">
        <w:t xml:space="preserve"> - </w:t>
      </w:r>
      <w:r w:rsidRPr="00AC4073">
        <w:t>0,447. Преимущество над базовым сценарием составляет 0,024 пункта, поэтому различия следует интерпретировать как умеренные.</w:t>
      </w:r>
    </w:p>
    <w:p w14:paraId="4186C37E" w14:textId="1D9D2E20" w:rsidR="00AC4073" w:rsidRDefault="00820F71" w:rsidP="00DA3687">
      <w:pPr>
        <w:spacing w:after="210"/>
        <w:jc w:val="center"/>
        <w:rPr>
          <w:rFonts w:asciiTheme="majorHAnsi" w:hAnsiTheme="majorHAnsi" w:cstheme="majorHAnsi"/>
        </w:rPr>
      </w:pPr>
      <w:r w:rsidRPr="00820F71">
        <w:rPr>
          <w:rFonts w:asciiTheme="majorHAnsi" w:hAnsiTheme="majorHAnsi" w:cstheme="majorHAnsi"/>
        </w:rPr>
        <w:drawing>
          <wp:inline distT="0" distB="0" distL="0" distR="0" wp14:anchorId="31FF4849" wp14:editId="35AF635A">
            <wp:extent cx="5400000" cy="359028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081B" w14:textId="3246F5D2" w:rsidR="00AC4073" w:rsidRPr="00292069" w:rsidRDefault="00AC4073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Рис. 1 </w:t>
      </w:r>
      <w:r w:rsidR="00292069">
        <w:rPr>
          <w:rFonts w:asciiTheme="majorHAnsi" w:hAnsiTheme="majorHAnsi" w:cstheme="majorHAnsi"/>
          <w:sz w:val="22"/>
        </w:rPr>
        <w:t xml:space="preserve">Потенциалы (рассчитано автором путем численного интегрирования уравнений (4-7) в </w:t>
      </w:r>
      <w:r w:rsidR="00292069">
        <w:rPr>
          <w:rFonts w:asciiTheme="majorHAnsi" w:hAnsiTheme="majorHAnsi" w:cstheme="majorHAnsi"/>
          <w:sz w:val="22"/>
          <w:lang w:val="en-US"/>
        </w:rPr>
        <w:t>Python</w:t>
      </w:r>
      <w:r w:rsidR="00292069">
        <w:rPr>
          <w:rFonts w:asciiTheme="majorHAnsi" w:hAnsiTheme="majorHAnsi" w:cstheme="majorHAnsi"/>
          <w:sz w:val="22"/>
        </w:rPr>
        <w:t>)</w:t>
      </w:r>
    </w:p>
    <w:p w14:paraId="71FA9927" w14:textId="58992863" w:rsidR="00292069" w:rsidRDefault="00820F71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 w:rsidRPr="00820F71">
        <w:rPr>
          <w:rFonts w:asciiTheme="majorHAnsi" w:hAnsiTheme="majorHAnsi" w:cstheme="majorHAnsi"/>
          <w:sz w:val="22"/>
        </w:rPr>
        <w:drawing>
          <wp:inline distT="0" distB="0" distL="0" distR="0" wp14:anchorId="06AF37A8" wp14:editId="4AC94939">
            <wp:extent cx="5400000" cy="334992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1E55" w14:textId="26F34991" w:rsidR="00292069" w:rsidRDefault="00292069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Рис. 2 Интегральный индекс (рассчитано автором путем численного интегрирования уравнений (4-7) в </w:t>
      </w:r>
      <w:r>
        <w:rPr>
          <w:rFonts w:asciiTheme="majorHAnsi" w:hAnsiTheme="majorHAnsi" w:cstheme="majorHAnsi"/>
          <w:sz w:val="22"/>
          <w:lang w:val="en-US"/>
        </w:rPr>
        <w:t>Python</w:t>
      </w:r>
      <w:r>
        <w:rPr>
          <w:rFonts w:asciiTheme="majorHAnsi" w:hAnsiTheme="majorHAnsi" w:cstheme="majorHAnsi"/>
          <w:sz w:val="22"/>
        </w:rPr>
        <w:t>)</w:t>
      </w:r>
    </w:p>
    <w:p w14:paraId="3EBA6F58" w14:textId="5A71176C" w:rsidR="00292069" w:rsidRDefault="00292069" w:rsidP="00292069">
      <w:pPr>
        <w:keepNext/>
        <w:spacing w:after="210"/>
        <w:ind w:left="720" w:hanging="720"/>
        <w:contextualSpacing/>
        <w:jc w:val="right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Таблица 1</w:t>
      </w:r>
    </w:p>
    <w:p w14:paraId="6FD46642" w14:textId="107823D5" w:rsidR="00292069" w:rsidRDefault="00292069" w:rsidP="00AC4073">
      <w:pPr>
        <w:spacing w:after="210"/>
        <w:jc w:val="center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Результаты сценарного моделирования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278"/>
        <w:gridCol w:w="1086"/>
        <w:gridCol w:w="1059"/>
        <w:gridCol w:w="1019"/>
        <w:gridCol w:w="1086"/>
        <w:gridCol w:w="1100"/>
      </w:tblGrid>
      <w:tr w:rsidR="00292069" w:rsidRPr="00292069" w14:paraId="0CB0F5D7" w14:textId="77777777" w:rsidTr="00292069">
        <w:tc>
          <w:tcPr>
            <w:tcW w:w="2222" w:type="pct"/>
            <w:hideMark/>
          </w:tcPr>
          <w:p w14:paraId="28453E45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Сценарий</w:t>
            </w:r>
          </w:p>
        </w:tc>
        <w:tc>
          <w:tcPr>
            <w:tcW w:w="564" w:type="pct"/>
            <w:hideMark/>
          </w:tcPr>
          <w:p w14:paraId="0372A78D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T(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50" w:type="pct"/>
            <w:hideMark/>
          </w:tcPr>
          <w:p w14:paraId="60926E77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S(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29" w:type="pct"/>
            <w:hideMark/>
          </w:tcPr>
          <w:p w14:paraId="6CA4A571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I(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64" w:type="pct"/>
            <w:hideMark/>
          </w:tcPr>
          <w:p w14:paraId="036BD491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E(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  <w:tc>
          <w:tcPr>
            <w:tcW w:w="571" w:type="pct"/>
            <w:hideMark/>
          </w:tcPr>
          <w:p w14:paraId="5AC68389" w14:textId="77777777" w:rsidR="00292069" w:rsidRPr="00292069" w:rsidRDefault="00292069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proofErr w:type="gramStart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U(</w:t>
            </w:r>
            <w:proofErr w:type="gramEnd"/>
            <w:r w:rsidRPr="00292069">
              <w:rPr>
                <w:rStyle w:val="HTML"/>
                <w:rFonts w:asciiTheme="majorHAnsi" w:hAnsiTheme="majorHAnsi" w:cstheme="majorHAnsi"/>
                <w:b/>
                <w:bCs/>
                <w:sz w:val="22"/>
                <w:szCs w:val="22"/>
              </w:rPr>
              <w:t>2030)</w:t>
            </w:r>
          </w:p>
        </w:tc>
      </w:tr>
      <w:tr w:rsidR="00292069" w:rsidRPr="00292069" w14:paraId="71E8B80C" w14:textId="77777777" w:rsidTr="00292069">
        <w:tc>
          <w:tcPr>
            <w:tcW w:w="2222" w:type="pct"/>
            <w:hideMark/>
          </w:tcPr>
          <w:p w14:paraId="7BD3EF20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Базовый</w:t>
            </w:r>
          </w:p>
        </w:tc>
        <w:tc>
          <w:tcPr>
            <w:tcW w:w="564" w:type="pct"/>
            <w:hideMark/>
          </w:tcPr>
          <w:p w14:paraId="0C899D6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0,682</w:t>
            </w:r>
          </w:p>
        </w:tc>
        <w:tc>
          <w:tcPr>
            <w:tcW w:w="550" w:type="pct"/>
            <w:hideMark/>
          </w:tcPr>
          <w:p w14:paraId="16685F2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0,711</w:t>
            </w:r>
          </w:p>
        </w:tc>
        <w:tc>
          <w:tcPr>
            <w:tcW w:w="529" w:type="pct"/>
            <w:hideMark/>
          </w:tcPr>
          <w:p w14:paraId="3D16E96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0,548</w:t>
            </w:r>
          </w:p>
        </w:tc>
        <w:tc>
          <w:tcPr>
            <w:tcW w:w="564" w:type="pct"/>
            <w:hideMark/>
          </w:tcPr>
          <w:p w14:paraId="330501E4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0,520</w:t>
            </w:r>
          </w:p>
        </w:tc>
        <w:tc>
          <w:tcPr>
            <w:tcW w:w="571" w:type="pct"/>
            <w:hideMark/>
          </w:tcPr>
          <w:p w14:paraId="622649C3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0,423</w:t>
            </w:r>
          </w:p>
        </w:tc>
      </w:tr>
      <w:tr w:rsidR="00292069" w:rsidRPr="00292069" w14:paraId="6913A545" w14:textId="77777777" w:rsidTr="00292069">
        <w:tc>
          <w:tcPr>
            <w:tcW w:w="2222" w:type="pct"/>
            <w:hideMark/>
          </w:tcPr>
          <w:p w14:paraId="07E9880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Технологическая модернизация</w:t>
            </w:r>
          </w:p>
        </w:tc>
        <w:tc>
          <w:tcPr>
            <w:tcW w:w="564" w:type="pct"/>
            <w:hideMark/>
          </w:tcPr>
          <w:p w14:paraId="2513CB6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0,688</w:t>
            </w:r>
          </w:p>
        </w:tc>
        <w:tc>
          <w:tcPr>
            <w:tcW w:w="550" w:type="pct"/>
            <w:hideMark/>
          </w:tcPr>
          <w:p w14:paraId="036F3957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0,711</w:t>
            </w:r>
          </w:p>
        </w:tc>
        <w:tc>
          <w:tcPr>
            <w:tcW w:w="529" w:type="pct"/>
            <w:hideMark/>
          </w:tcPr>
          <w:p w14:paraId="5CF768F0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0,594</w:t>
            </w:r>
          </w:p>
        </w:tc>
        <w:tc>
          <w:tcPr>
            <w:tcW w:w="564" w:type="pct"/>
            <w:hideMark/>
          </w:tcPr>
          <w:p w14:paraId="1A81B11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0,520</w:t>
            </w:r>
          </w:p>
        </w:tc>
        <w:tc>
          <w:tcPr>
            <w:tcW w:w="571" w:type="pct"/>
            <w:hideMark/>
          </w:tcPr>
          <w:p w14:paraId="7C7329B3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0,435</w:t>
            </w:r>
          </w:p>
        </w:tc>
      </w:tr>
      <w:tr w:rsidR="00292069" w:rsidRPr="00292069" w14:paraId="6A06924E" w14:textId="77777777" w:rsidTr="00292069">
        <w:tc>
          <w:tcPr>
            <w:tcW w:w="2222" w:type="pct"/>
            <w:hideMark/>
          </w:tcPr>
          <w:p w14:paraId="31B841FA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Экологический</w:t>
            </w:r>
          </w:p>
        </w:tc>
        <w:tc>
          <w:tcPr>
            <w:tcW w:w="564" w:type="pct"/>
            <w:hideMark/>
          </w:tcPr>
          <w:p w14:paraId="04C7DB9B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0,684</w:t>
            </w:r>
          </w:p>
        </w:tc>
        <w:tc>
          <w:tcPr>
            <w:tcW w:w="550" w:type="pct"/>
            <w:hideMark/>
          </w:tcPr>
          <w:p w14:paraId="02407D3D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0,715</w:t>
            </w:r>
          </w:p>
        </w:tc>
        <w:tc>
          <w:tcPr>
            <w:tcW w:w="529" w:type="pct"/>
            <w:hideMark/>
          </w:tcPr>
          <w:p w14:paraId="7F113BE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0,548</w:t>
            </w:r>
          </w:p>
        </w:tc>
        <w:tc>
          <w:tcPr>
            <w:tcW w:w="564" w:type="pct"/>
            <w:hideMark/>
          </w:tcPr>
          <w:p w14:paraId="53346709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0,470</w:t>
            </w:r>
          </w:p>
        </w:tc>
        <w:tc>
          <w:tcPr>
            <w:tcW w:w="571" w:type="pct"/>
            <w:hideMark/>
          </w:tcPr>
          <w:p w14:paraId="1C61ABBF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0,435</w:t>
            </w:r>
          </w:p>
        </w:tc>
      </w:tr>
      <w:tr w:rsidR="00292069" w:rsidRPr="00292069" w14:paraId="529E333D" w14:textId="77777777" w:rsidTr="00292069">
        <w:tc>
          <w:tcPr>
            <w:tcW w:w="2222" w:type="pct"/>
            <w:hideMark/>
          </w:tcPr>
          <w:p w14:paraId="1927A4F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Комбинированный</w:t>
            </w:r>
          </w:p>
        </w:tc>
        <w:tc>
          <w:tcPr>
            <w:tcW w:w="564" w:type="pct"/>
            <w:hideMark/>
          </w:tcPr>
          <w:p w14:paraId="20F0370D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0,691</w:t>
            </w:r>
          </w:p>
        </w:tc>
        <w:tc>
          <w:tcPr>
            <w:tcW w:w="550" w:type="pct"/>
            <w:hideMark/>
          </w:tcPr>
          <w:p w14:paraId="3A7CC4B7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0,716</w:t>
            </w:r>
          </w:p>
        </w:tc>
        <w:tc>
          <w:tcPr>
            <w:tcW w:w="529" w:type="pct"/>
            <w:hideMark/>
          </w:tcPr>
          <w:p w14:paraId="5F9375E6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0,594</w:t>
            </w:r>
          </w:p>
        </w:tc>
        <w:tc>
          <w:tcPr>
            <w:tcW w:w="564" w:type="pct"/>
            <w:hideMark/>
          </w:tcPr>
          <w:p w14:paraId="371ED518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0,470</w:t>
            </w:r>
          </w:p>
        </w:tc>
        <w:tc>
          <w:tcPr>
            <w:tcW w:w="571" w:type="pct"/>
            <w:hideMark/>
          </w:tcPr>
          <w:p w14:paraId="34E1B9B5" w14:textId="77777777" w:rsidR="00292069" w:rsidRPr="00292069" w:rsidRDefault="00292069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92069">
              <w:rPr>
                <w:rFonts w:asciiTheme="majorHAnsi" w:hAnsiTheme="majorHAnsi" w:cstheme="majorHAnsi"/>
                <w:sz w:val="22"/>
                <w:szCs w:val="22"/>
              </w:rPr>
              <w:t>0,447</w:t>
            </w:r>
          </w:p>
        </w:tc>
      </w:tr>
    </w:tbl>
    <w:p w14:paraId="5923ABA8" w14:textId="77777777" w:rsidR="00292069" w:rsidRPr="00AC4073" w:rsidRDefault="00292069" w:rsidP="00AC4073">
      <w:pPr>
        <w:spacing w:after="210"/>
        <w:jc w:val="center"/>
        <w:rPr>
          <w:rFonts w:asciiTheme="majorHAnsi" w:hAnsiTheme="majorHAnsi" w:cstheme="majorHAnsi"/>
          <w:sz w:val="22"/>
          <w:szCs w:val="22"/>
        </w:rPr>
      </w:pPr>
    </w:p>
    <w:p w14:paraId="385A2B21" w14:textId="77777777" w:rsidR="00715F81" w:rsidRPr="0012042A" w:rsidRDefault="00000000" w:rsidP="00CF19FD">
      <w:pPr>
        <w:spacing w:after="210"/>
        <w:ind w:firstLine="567"/>
        <w:jc w:val="both"/>
        <w:rPr>
          <w:rFonts w:asciiTheme="majorHAnsi" w:hAnsiTheme="majorHAnsi" w:cstheme="majorHAnsi"/>
        </w:rPr>
      </w:pPr>
      <w:bookmarkStart w:id="7" w:name="обсуждение_результатов"/>
      <w:r w:rsidRPr="0012042A">
        <w:rPr>
          <w:rFonts w:asciiTheme="majorHAnsi" w:eastAsia="source serif 4" w:hAnsiTheme="majorHAnsi" w:cstheme="majorHAnsi"/>
          <w:b/>
          <w:color w:val="000000"/>
        </w:rPr>
        <w:t>Обсуждение результатов</w:t>
      </w:r>
      <w:bookmarkEnd w:id="7"/>
    </w:p>
    <w:p w14:paraId="7635565E" w14:textId="18877FB8" w:rsidR="00715F81" w:rsidRPr="0012042A" w:rsidRDefault="00000000" w:rsidP="00A96894">
      <w:pPr>
        <w:pStyle w:val="1"/>
      </w:pPr>
      <w:r w:rsidRPr="0012042A">
        <w:t>Предлагаемая модель не претендует на описание всех производственных, финансовых и институциональных процессов, происходящих в</w:t>
      </w:r>
      <w:r w:rsidR="00DA3687">
        <w:t xml:space="preserve"> </w:t>
      </w:r>
      <w:r w:rsidRPr="0012042A">
        <w:t>Югре. Ее назначение состоит в выявлении ключевых обратных связей между технологическим развитием, социальной результативностью, инвестиционно-инновационной активностью и экологическими ограничениями. Использование агрегированных индексов делает модель прозрачной для интерпретации и применимой в условиях ограниченности открытых данных.</w:t>
      </w:r>
    </w:p>
    <w:p w14:paraId="773F5BFE" w14:textId="4A29EDBC" w:rsidR="00715F81" w:rsidRPr="0012042A" w:rsidRDefault="00000000" w:rsidP="00A96894">
      <w:pPr>
        <w:pStyle w:val="1"/>
      </w:pPr>
      <w:r w:rsidRPr="0012042A">
        <w:t xml:space="preserve">Практическая ценность модели состоит в возможности предварительной оценки последствий изменения параметров промышленной политики. Например, рост поддержки технологического обновления без увеличения природоохранных инвестиций способен ускорить технологическое развитие, но не гарантирует снижения экологических рисков. Напротив, согласованное изменение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2042A">
        <w:t xml:space="preserve">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2042A">
        <w:t xml:space="preserve"> 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12042A">
        <w:t xml:space="preserve"> позволяет анализировать условия, при которых технологическая трансформация приводит к более сбалансированному развитию региона.</w:t>
      </w:r>
      <w:r w:rsidR="00E155A8">
        <w:t xml:space="preserve"> Следует учитывать текущие ограничения, а именно: п</w:t>
      </w:r>
      <w:r w:rsidR="00E155A8" w:rsidRPr="00E155A8">
        <w:t xml:space="preserve">олученные различия характеризуют свойства заданной структуры модели и сценарных предпосылок. Они не являются статистическим прогнозом фактических значений региональных показателей. Коэффициенты взаимодействия пока не оценены по временным рядам, а значения управленческих воздействий после 2024 года заданы </w:t>
      </w:r>
      <w:proofErr w:type="spellStart"/>
      <w:r w:rsidR="00E155A8" w:rsidRPr="00E155A8">
        <w:t>экспертно</w:t>
      </w:r>
      <w:proofErr w:type="spellEnd"/>
      <w:r w:rsidR="00E155A8" w:rsidRPr="00E155A8">
        <w:t>. Поэтому результаты следует рассматривать как предварительную проверку логики сценариев.</w:t>
      </w:r>
    </w:p>
    <w:p w14:paraId="54B90540" w14:textId="77777777" w:rsidR="00715F81" w:rsidRPr="0012042A" w:rsidRDefault="00000000" w:rsidP="00A96894">
      <w:pPr>
        <w:pStyle w:val="1"/>
      </w:pPr>
      <w:r w:rsidRPr="0012042A">
        <w:t>Дальнейшее развитие исследования предполагает: уточнение состава индикаторов; оценку параметров на статистических данных; декомпозицию технологического потенциала по нефтегазовому, сервисному, цифровому и экологическому секторам; включение межрегиональных связей; сопоставление ХМАО–Югры с другими ресурсодобывающими субъектами Российской Федерации.</w:t>
      </w:r>
    </w:p>
    <w:p w14:paraId="590B4A54" w14:textId="77777777" w:rsidR="00715F81" w:rsidRPr="0012042A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8" w:name="заключение"/>
      <w:r w:rsidRPr="0012042A">
        <w:rPr>
          <w:rFonts w:asciiTheme="majorHAnsi" w:eastAsia="source serif 4" w:hAnsiTheme="majorHAnsi" w:cstheme="majorHAnsi"/>
          <w:b/>
          <w:color w:val="000000"/>
        </w:rPr>
        <w:t>Заключение</w:t>
      </w:r>
      <w:bookmarkEnd w:id="8"/>
    </w:p>
    <w:p w14:paraId="7A9A2D0B" w14:textId="2342C14D" w:rsidR="00E155A8" w:rsidRDefault="00E155A8" w:rsidP="00A96894">
      <w:pPr>
        <w:pStyle w:val="1"/>
      </w:pPr>
      <w:r w:rsidRPr="00E155A8">
        <w:t>Предложенная нелинейная модель обеспечивает сохранение технологического, социально-экономического, инвестиционно-инновационного и экологического индексов в диапазоне от 0 до 1. Предварительный расчёт на 2024–2030 годы показал, что технологические меры преимущественно влияют на инвестиционно-инновационную активность, а природоохранные меры</w:t>
      </w:r>
      <w:r w:rsidR="00D0146E">
        <w:t xml:space="preserve"> - </w:t>
      </w:r>
      <w:r w:rsidRPr="00E155A8">
        <w:t xml:space="preserve">на экологическую нагрузку. </w:t>
      </w:r>
    </w:p>
    <w:p w14:paraId="43966D31" w14:textId="77777777" w:rsidR="00E155A8" w:rsidRDefault="00E155A8" w:rsidP="00A96894">
      <w:pPr>
        <w:pStyle w:val="1"/>
      </w:pPr>
      <w:r w:rsidRPr="00E155A8">
        <w:t>Совместное применение мер обеспечивает значение сводного индекса 0,447 против 0,423 в базовом сценарии. Для перехода от сценарного эксперимента к эмпирическому прогнозу требуется сформировать наблюдаемые индексы и оценить коэффициенты модели по региональным временным рядам.</w:t>
      </w:r>
    </w:p>
    <w:p w14:paraId="33E0EBE8" w14:textId="07BEF3AA" w:rsidR="00715F81" w:rsidRPr="0012042A" w:rsidRDefault="00000000" w:rsidP="00A96894">
      <w:pPr>
        <w:pStyle w:val="1"/>
      </w:pPr>
      <w:r w:rsidRPr="0012042A">
        <w:t>Применение модели к ХМАО–Югре позволяет перейти от статического сопоставления отдельных показателей к сценарной оценке последствий промышленной политики. Численная реализация в Python обеспечивает воспроизводимость расчетов, возможность калибровки параметров и сопоставления инерционного, технологически ориентированного и сбалансированного сценариев развития.</w:t>
      </w:r>
    </w:p>
    <w:p w14:paraId="56C6F45A" w14:textId="77777777" w:rsidR="00715F81" w:rsidRPr="00520A68" w:rsidRDefault="00000000" w:rsidP="00CF19FD">
      <w:pPr>
        <w:spacing w:before="315" w:after="105"/>
        <w:ind w:left="-30"/>
        <w:rPr>
          <w:rFonts w:asciiTheme="majorHAnsi" w:hAnsiTheme="majorHAnsi" w:cstheme="majorHAnsi"/>
        </w:rPr>
      </w:pPr>
      <w:bookmarkStart w:id="9" w:name="литература"/>
      <w:r w:rsidRPr="0012042A">
        <w:rPr>
          <w:rFonts w:asciiTheme="majorHAnsi" w:eastAsia="source serif 4" w:hAnsiTheme="majorHAnsi" w:cstheme="majorHAnsi"/>
          <w:b/>
          <w:color w:val="000000"/>
        </w:rPr>
        <w:t>Литература</w:t>
      </w:r>
      <w:bookmarkEnd w:id="9"/>
    </w:p>
    <w:p w14:paraId="608B9AED" w14:textId="522C9D9A" w:rsidR="00520BCC" w:rsidRPr="00520BCC" w:rsidRDefault="00520BCC" w:rsidP="00A96894">
      <w:pPr>
        <w:pStyle w:val="2"/>
        <w:jc w:val="left"/>
      </w:pPr>
      <w:r>
        <w:t xml:space="preserve">1. </w:t>
      </w:r>
      <w:r w:rsidRPr="00520BCC">
        <w:t>Бородин С. Н. Модель оценки устойчивого развития региона на основе индексного метода // Экономика региона. 2023. Т. 19, № 1. С. 45–59. https://doi.org/10.17059/ekon.reg.2023-1-4</w:t>
      </w:r>
    </w:p>
    <w:p w14:paraId="6DC49D05" w14:textId="52DB4999" w:rsidR="00520BCC" w:rsidRPr="00520BCC" w:rsidRDefault="00520BCC" w:rsidP="00A96894">
      <w:pPr>
        <w:pStyle w:val="2"/>
        <w:jc w:val="left"/>
      </w:pPr>
      <w:r>
        <w:t xml:space="preserve">2. </w:t>
      </w:r>
      <w:r w:rsidRPr="00520BCC">
        <w:t>Демидова К. В., Баринова В. А., Гвоздева М. А. Экологические риски и устойчивое развитие российских регионов в условиях кризисов // R-</w:t>
      </w:r>
      <w:proofErr w:type="spellStart"/>
      <w:r w:rsidRPr="00520BCC">
        <w:t>Economy</w:t>
      </w:r>
      <w:proofErr w:type="spellEnd"/>
      <w:r w:rsidRPr="00520BCC">
        <w:t>. 2024. Т. 10, № 4. С. 427–443. https://doi.org/10.15826/recon.2024.10.4.026</w:t>
      </w:r>
    </w:p>
    <w:p w14:paraId="73927976" w14:textId="3B747B0A" w:rsidR="00520BCC" w:rsidRPr="00520BCC" w:rsidRDefault="00520BCC" w:rsidP="00A96894">
      <w:pPr>
        <w:pStyle w:val="2"/>
        <w:jc w:val="left"/>
      </w:pPr>
      <w:r>
        <w:t xml:space="preserve">3. </w:t>
      </w:r>
      <w:r w:rsidRPr="00520BCC">
        <w:t xml:space="preserve">Стратегия социально-экономического развития Ханты-Мансийского автономного округа – Югры до 2036 года с целевыми ориентирами до 2050 </w:t>
      </w:r>
      <w:proofErr w:type="gramStart"/>
      <w:r w:rsidRPr="00520BCC">
        <w:t>года :</w:t>
      </w:r>
      <w:proofErr w:type="gramEnd"/>
      <w:r w:rsidRPr="00520BCC">
        <w:t xml:space="preserve"> распоряжение Правительства Ханты-Мансийского автономного округа – Югры от 03.11.2022 № 679-рп // Официальный сайт органов государственной власти Ханты-Мансийского автономного округа – Югры. URL: https://econ.sovrnhmao.ru/s-e-r/2030.php (дата обращения: 04.09.2026).</w:t>
      </w:r>
    </w:p>
    <w:p w14:paraId="2868DC30" w14:textId="2FCFCFFE" w:rsidR="00520BCC" w:rsidRPr="00820F71" w:rsidRDefault="00520BCC" w:rsidP="00A96894">
      <w:pPr>
        <w:pStyle w:val="2"/>
        <w:jc w:val="left"/>
      </w:pPr>
      <w:r>
        <w:t xml:space="preserve">4. </w:t>
      </w:r>
      <w:r w:rsidRPr="00520BCC">
        <w:t xml:space="preserve">Федеральная служба государственной статистики. Единая межведомственная информационно-статистическая система. </w:t>
      </w:r>
      <w:r w:rsidRPr="00520A68">
        <w:rPr>
          <w:lang w:val="en-US"/>
        </w:rPr>
        <w:t>URL</w:t>
      </w:r>
      <w:r w:rsidRPr="00820F71">
        <w:t xml:space="preserve">: </w:t>
      </w:r>
      <w:r w:rsidRPr="00520A68">
        <w:rPr>
          <w:lang w:val="en-US"/>
        </w:rPr>
        <w:t>https</w:t>
      </w:r>
      <w:r w:rsidRPr="00820F71">
        <w:t>://</w:t>
      </w:r>
      <w:r w:rsidRPr="00520A68">
        <w:rPr>
          <w:lang w:val="en-US"/>
        </w:rPr>
        <w:t>www</w:t>
      </w:r>
      <w:r w:rsidRPr="00820F71">
        <w:t>.</w:t>
      </w:r>
      <w:proofErr w:type="spellStart"/>
      <w:r w:rsidRPr="00520A68">
        <w:rPr>
          <w:lang w:val="en-US"/>
        </w:rPr>
        <w:t>fedstat</w:t>
      </w:r>
      <w:proofErr w:type="spellEnd"/>
      <w:r w:rsidRPr="00820F71">
        <w:t>.</w:t>
      </w:r>
      <w:proofErr w:type="spellStart"/>
      <w:r w:rsidRPr="00520A68">
        <w:rPr>
          <w:lang w:val="en-US"/>
        </w:rPr>
        <w:t>ru</w:t>
      </w:r>
      <w:proofErr w:type="spellEnd"/>
      <w:r w:rsidRPr="00820F71">
        <w:t>/ (</w:t>
      </w:r>
      <w:r w:rsidRPr="00520BCC">
        <w:t>дата</w:t>
      </w:r>
      <w:r w:rsidRPr="00820F71">
        <w:t xml:space="preserve"> </w:t>
      </w:r>
      <w:r w:rsidRPr="00520BCC">
        <w:t>обращения</w:t>
      </w:r>
      <w:r w:rsidRPr="00820F71">
        <w:t>: 04.09.2026).</w:t>
      </w:r>
    </w:p>
    <w:p w14:paraId="2EA08B91" w14:textId="5E99CB00" w:rsidR="00520BCC" w:rsidRPr="003D3614" w:rsidRDefault="003D3614" w:rsidP="00A96894">
      <w:pPr>
        <w:pStyle w:val="2"/>
        <w:jc w:val="left"/>
      </w:pPr>
      <w:r w:rsidRPr="003D3614">
        <w:t xml:space="preserve">5. </w:t>
      </w:r>
      <w:proofErr w:type="spellStart"/>
      <w:r w:rsidRPr="003D3614">
        <w:t>Ходаковский</w:t>
      </w:r>
      <w:proofErr w:type="spellEnd"/>
      <w:r w:rsidRPr="003D3614">
        <w:t xml:space="preserve"> Е.А., Сизов А.А. Энергетическая безопасность России в условиях трансформации миропорядка: вызовы, угрозы, возможности // Социально-политические науки. - 2024. - Т. 14. - №5. - </w:t>
      </w:r>
      <w:r w:rsidRPr="003D3614">
        <w:rPr>
          <w:lang w:val="en-US"/>
        </w:rPr>
        <w:t>C</w:t>
      </w:r>
      <w:r w:rsidRPr="003D3614">
        <w:t xml:space="preserve">. 97-102. </w:t>
      </w:r>
      <w:proofErr w:type="spellStart"/>
      <w:r w:rsidRPr="003D3614">
        <w:rPr>
          <w:lang w:val="en-US"/>
        </w:rPr>
        <w:t>doi</w:t>
      </w:r>
      <w:proofErr w:type="spellEnd"/>
      <w:r w:rsidRPr="003D3614">
        <w:t>: 10.33693/2223-0092-2024-14-5-97-102</w:t>
      </w:r>
    </w:p>
    <w:p w14:paraId="70CA5B52" w14:textId="5B26E490" w:rsidR="00520BCC" w:rsidRPr="00520A68" w:rsidRDefault="00836DAF" w:rsidP="00A96894">
      <w:pPr>
        <w:pStyle w:val="2"/>
        <w:jc w:val="left"/>
        <w:rPr>
          <w:lang w:val="en-US"/>
        </w:rPr>
      </w:pPr>
      <w:r w:rsidRPr="00836DAF">
        <w:rPr>
          <w:lang w:val="en-US"/>
        </w:rPr>
        <w:t xml:space="preserve">6. </w:t>
      </w:r>
      <w:proofErr w:type="spellStart"/>
      <w:r w:rsidRPr="00836DAF">
        <w:rPr>
          <w:lang w:val="en-US"/>
        </w:rPr>
        <w:t>Autio</w:t>
      </w:r>
      <w:proofErr w:type="spellEnd"/>
      <w:r w:rsidRPr="00836DAF">
        <w:rPr>
          <w:lang w:val="en-US"/>
        </w:rPr>
        <w:t xml:space="preserve"> E., Thomas L. D. W. Researching ecosystems in innovation contexts // Innovation &amp; Management Review. 2022. Vol. 19, no. 1. P. 12–25. https://doi.org/10.1108/INMR-08-2021-0151</w:t>
      </w:r>
    </w:p>
    <w:p w14:paraId="0AE495A5" w14:textId="7F7B25BF" w:rsidR="00520BCC" w:rsidRPr="00520A68" w:rsidRDefault="00836DAF" w:rsidP="00A96894">
      <w:pPr>
        <w:pStyle w:val="2"/>
        <w:jc w:val="left"/>
        <w:rPr>
          <w:lang w:val="en-US"/>
        </w:rPr>
      </w:pPr>
      <w:r w:rsidRPr="00836DAF">
        <w:rPr>
          <w:lang w:val="en-US"/>
        </w:rPr>
        <w:t>7. Cao B., Meng F., Li B. Spatial effects of innovation ecosystem development on low-carbon transition // Ecological Indicators. 2023. Vol. 157. Article 111277. https://doi.org/10.1016/j.ecolind.2023.111277</w:t>
      </w:r>
    </w:p>
    <w:p w14:paraId="01B38128" w14:textId="2B7CAF4F" w:rsidR="00520BCC" w:rsidRPr="00520A68" w:rsidRDefault="00993270" w:rsidP="00A96894">
      <w:pPr>
        <w:pStyle w:val="2"/>
        <w:jc w:val="left"/>
        <w:rPr>
          <w:lang w:val="en-US"/>
        </w:rPr>
      </w:pPr>
      <w:r w:rsidRPr="00993270">
        <w:rPr>
          <w:lang w:val="en-US"/>
        </w:rPr>
        <w:t xml:space="preserve">8. </w:t>
      </w:r>
      <w:proofErr w:type="spellStart"/>
      <w:r w:rsidRPr="00993270">
        <w:rPr>
          <w:lang w:val="en-US"/>
        </w:rPr>
        <w:t>Etzkowitz</w:t>
      </w:r>
      <w:proofErr w:type="spellEnd"/>
      <w:r w:rsidRPr="00993270">
        <w:rPr>
          <w:lang w:val="en-US"/>
        </w:rPr>
        <w:t xml:space="preserve"> H., </w:t>
      </w:r>
      <w:proofErr w:type="spellStart"/>
      <w:r w:rsidRPr="00993270">
        <w:rPr>
          <w:lang w:val="en-US"/>
        </w:rPr>
        <w:t>Dzisah</w:t>
      </w:r>
      <w:proofErr w:type="spellEnd"/>
      <w:r w:rsidRPr="00993270">
        <w:rPr>
          <w:lang w:val="en-US"/>
        </w:rPr>
        <w:t xml:space="preserve"> J., </w:t>
      </w:r>
      <w:proofErr w:type="spellStart"/>
      <w:r w:rsidRPr="00993270">
        <w:rPr>
          <w:lang w:val="en-US"/>
        </w:rPr>
        <w:t>Albats</w:t>
      </w:r>
      <w:proofErr w:type="spellEnd"/>
      <w:r w:rsidRPr="00993270">
        <w:rPr>
          <w:lang w:val="en-US"/>
        </w:rPr>
        <w:t xml:space="preserve"> E., Cai Y., </w:t>
      </w:r>
      <w:proofErr w:type="spellStart"/>
      <w:r w:rsidRPr="00993270">
        <w:rPr>
          <w:lang w:val="en-US"/>
        </w:rPr>
        <w:t>Outamha</w:t>
      </w:r>
      <w:proofErr w:type="spellEnd"/>
      <w:r w:rsidRPr="00993270">
        <w:rPr>
          <w:lang w:val="en-US"/>
        </w:rPr>
        <w:t xml:space="preserve"> R. Entrepreneurship and innovation in the Triple Helix: The perspicacity of intermediate ties // Industry and Higher Education. 2023. Vol. 37, no. 6. P. 753–761. https://doi.org/10.1177/09504222221151122</w:t>
      </w:r>
    </w:p>
    <w:p w14:paraId="53A1C3B1" w14:textId="4173BE14" w:rsidR="00520BCC" w:rsidRPr="00520A68" w:rsidRDefault="00520BCC" w:rsidP="00A96894">
      <w:pPr>
        <w:pStyle w:val="2"/>
        <w:jc w:val="left"/>
        <w:rPr>
          <w:lang w:val="en-US"/>
        </w:rPr>
      </w:pPr>
      <w:r w:rsidRPr="00520BCC">
        <w:rPr>
          <w:lang w:val="en-US"/>
        </w:rPr>
        <w:t xml:space="preserve">9. Hou R., Zhang L., Wang Y., Liu X. Research on the Optimization Path of Regional Innovation Development Based on System Dynamics // Sustainability. </w:t>
      </w:r>
      <w:r w:rsidRPr="00520A68">
        <w:rPr>
          <w:lang w:val="en-US"/>
        </w:rPr>
        <w:t>2024. Vol. 16, no. 11. Art. 4869. https://doi.org/10.3390/su16114869</w:t>
      </w:r>
    </w:p>
    <w:p w14:paraId="1A9583D6" w14:textId="77777777" w:rsidR="005F5028" w:rsidRPr="005F5028" w:rsidRDefault="005F5028" w:rsidP="005F5028">
      <w:pPr>
        <w:pStyle w:val="2"/>
        <w:rPr>
          <w:lang w:val="en-US"/>
        </w:rPr>
      </w:pPr>
      <w:r w:rsidRPr="005F5028">
        <w:rPr>
          <w:lang w:val="en-US"/>
        </w:rPr>
        <w:t xml:space="preserve">10. Kryukov V., Suslov N., Kryukov Y. Overcoming Interregional Economic Disparities in Russia Through Implementation of Resource Projects // Landmarks for Spatial Development / eds. S. </w:t>
      </w:r>
      <w:proofErr w:type="spellStart"/>
      <w:r w:rsidRPr="005F5028">
        <w:rPr>
          <w:lang w:val="en-US"/>
        </w:rPr>
        <w:t>Martinat</w:t>
      </w:r>
      <w:proofErr w:type="spellEnd"/>
      <w:r w:rsidRPr="005F5028">
        <w:rPr>
          <w:lang w:val="en-US"/>
        </w:rPr>
        <w:t xml:space="preserve">, V. Kumar, A. Torre, Y. </w:t>
      </w:r>
      <w:proofErr w:type="spellStart"/>
      <w:r w:rsidRPr="005F5028">
        <w:rPr>
          <w:lang w:val="en-US"/>
        </w:rPr>
        <w:t>Lavrikova</w:t>
      </w:r>
      <w:proofErr w:type="spellEnd"/>
      <w:r w:rsidRPr="005F5028">
        <w:rPr>
          <w:lang w:val="en-US"/>
        </w:rPr>
        <w:t xml:space="preserve">, E. Kuzmin. </w:t>
      </w:r>
      <w:proofErr w:type="gramStart"/>
      <w:r w:rsidRPr="005F5028">
        <w:rPr>
          <w:lang w:val="en-US"/>
        </w:rPr>
        <w:t>Cham :</w:t>
      </w:r>
      <w:proofErr w:type="gramEnd"/>
      <w:r w:rsidRPr="005F5028">
        <w:rPr>
          <w:lang w:val="en-US"/>
        </w:rPr>
        <w:t xml:space="preserve"> Springer, 2023. P. 135–167. https://doi.org/10.1007/978-3-031-37349-7_8</w:t>
      </w:r>
    </w:p>
    <w:p w14:paraId="1EF69410" w14:textId="1D8963D4" w:rsidR="00520BCC" w:rsidRPr="00520A68" w:rsidRDefault="005F5028" w:rsidP="005F5028">
      <w:pPr>
        <w:pStyle w:val="2"/>
        <w:jc w:val="left"/>
        <w:rPr>
          <w:lang w:val="en-US"/>
        </w:rPr>
      </w:pPr>
      <w:r w:rsidRPr="005F5028">
        <w:rPr>
          <w:lang w:val="en-US"/>
        </w:rPr>
        <w:t xml:space="preserve">11. </w:t>
      </w:r>
      <w:proofErr w:type="spellStart"/>
      <w:r w:rsidRPr="005F5028">
        <w:rPr>
          <w:lang w:val="en-US"/>
        </w:rPr>
        <w:t>Sahin</w:t>
      </w:r>
      <w:proofErr w:type="spellEnd"/>
      <w:r w:rsidRPr="005F5028">
        <w:rPr>
          <w:lang w:val="en-US"/>
        </w:rPr>
        <w:t xml:space="preserve"> G., Dogan N., </w:t>
      </w:r>
      <w:proofErr w:type="spellStart"/>
      <w:r w:rsidRPr="005F5028">
        <w:rPr>
          <w:lang w:val="en-US"/>
        </w:rPr>
        <w:t>Berument</w:t>
      </w:r>
      <w:proofErr w:type="spellEnd"/>
      <w:r w:rsidRPr="005F5028">
        <w:rPr>
          <w:lang w:val="en-US"/>
        </w:rPr>
        <w:t xml:space="preserve"> M. H. The effects of two benchmarks on Russian crude oil prices // Economic Change and Restructuring. 2023. Vol. 56, no. 2. P. 733–748. https://doi.org/10.1007/s10644-022-09441-0</w:t>
      </w:r>
    </w:p>
    <w:p w14:paraId="1E126C64" w14:textId="2F3AA809" w:rsidR="00520BCC" w:rsidRPr="00520A68" w:rsidRDefault="00520BCC" w:rsidP="00A96894">
      <w:pPr>
        <w:pStyle w:val="2"/>
        <w:jc w:val="left"/>
      </w:pPr>
      <w:r w:rsidRPr="00520BCC">
        <w:rPr>
          <w:lang w:val="en-US"/>
        </w:rPr>
        <w:t xml:space="preserve">12. Samara E., </w:t>
      </w:r>
      <w:proofErr w:type="spellStart"/>
      <w:r w:rsidRPr="00520BCC">
        <w:rPr>
          <w:lang w:val="en-US"/>
        </w:rPr>
        <w:t>Kilintzis</w:t>
      </w:r>
      <w:proofErr w:type="spellEnd"/>
      <w:r w:rsidRPr="00520BCC">
        <w:rPr>
          <w:lang w:val="en-US"/>
        </w:rPr>
        <w:t xml:space="preserve"> P., </w:t>
      </w:r>
      <w:proofErr w:type="spellStart"/>
      <w:r w:rsidRPr="00520BCC">
        <w:rPr>
          <w:lang w:val="en-US"/>
        </w:rPr>
        <w:t>Katsoras</w:t>
      </w:r>
      <w:proofErr w:type="spellEnd"/>
      <w:r w:rsidRPr="00520BCC">
        <w:rPr>
          <w:lang w:val="en-US"/>
        </w:rPr>
        <w:t xml:space="preserve"> E., </w:t>
      </w:r>
      <w:proofErr w:type="spellStart"/>
      <w:r w:rsidRPr="00520BCC">
        <w:rPr>
          <w:lang w:val="en-US"/>
        </w:rPr>
        <w:t>Martnidis</w:t>
      </w:r>
      <w:proofErr w:type="spellEnd"/>
      <w:r w:rsidRPr="00520BCC">
        <w:rPr>
          <w:lang w:val="en-US"/>
        </w:rPr>
        <w:t xml:space="preserve"> G., Kosti P. A system dynamics approach for the development of a Regional Innovation System // Journal of Innovation and Entrepreneurship. </w:t>
      </w:r>
      <w:r w:rsidRPr="00520BCC">
        <w:t xml:space="preserve">2024. </w:t>
      </w:r>
      <w:proofErr w:type="spellStart"/>
      <w:r w:rsidRPr="00520BCC">
        <w:t>Vol</w:t>
      </w:r>
      <w:proofErr w:type="spellEnd"/>
      <w:r w:rsidRPr="00520BCC">
        <w:t xml:space="preserve">. 13, </w:t>
      </w:r>
      <w:proofErr w:type="spellStart"/>
      <w:r w:rsidRPr="00520BCC">
        <w:t>no</w:t>
      </w:r>
      <w:proofErr w:type="spellEnd"/>
      <w:r w:rsidRPr="00520BCC">
        <w:t xml:space="preserve">. 1. Art. 26. </w:t>
      </w:r>
      <w:proofErr w:type="spellStart"/>
      <w:r w:rsidRPr="00520BCC">
        <w:t>http</w:t>
      </w:r>
      <w:proofErr w:type="spellEnd"/>
      <w:r w:rsidRPr="00520BCC">
        <w:rPr>
          <w:lang w:val="en-US"/>
        </w:rPr>
        <w:t>s</w:t>
      </w:r>
      <w:r w:rsidRPr="00520A68">
        <w:t>://</w:t>
      </w:r>
      <w:proofErr w:type="spellStart"/>
      <w:r w:rsidRPr="00520BCC">
        <w:rPr>
          <w:lang w:val="en-US"/>
        </w:rPr>
        <w:t>doi</w:t>
      </w:r>
      <w:proofErr w:type="spellEnd"/>
      <w:r w:rsidRPr="00520A68">
        <w:t>.</w:t>
      </w:r>
      <w:r w:rsidRPr="00520BCC">
        <w:rPr>
          <w:lang w:val="en-US"/>
        </w:rPr>
        <w:t>org</w:t>
      </w:r>
      <w:r w:rsidRPr="00520A68">
        <w:t>/10.1186/</w:t>
      </w:r>
      <w:r w:rsidRPr="00520BCC">
        <w:rPr>
          <w:lang w:val="en-US"/>
        </w:rPr>
        <w:t>s</w:t>
      </w:r>
      <w:r w:rsidRPr="00520A68">
        <w:t>13731-024-00385-5</w:t>
      </w:r>
    </w:p>
    <w:p w14:paraId="1F202E63" w14:textId="1268B14D" w:rsidR="00715F81" w:rsidRPr="0012042A" w:rsidRDefault="00715F81" w:rsidP="00CF19FD">
      <w:pPr>
        <w:spacing w:before="210"/>
        <w:rPr>
          <w:rFonts w:asciiTheme="majorHAnsi" w:hAnsiTheme="majorHAnsi" w:cstheme="majorHAnsi"/>
        </w:rPr>
      </w:pPr>
    </w:p>
    <w:sectPr w:rsidR="00715F81" w:rsidRPr="0012042A" w:rsidSect="0012042A">
      <w:pgSz w:w="11906" w:h="16838" w:code="9"/>
      <w:pgMar w:top="1134" w:right="1134" w:bottom="1134" w:left="1134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D5304"/>
    <w:multiLevelType w:val="hybridMultilevel"/>
    <w:tmpl w:val="082026EC"/>
    <w:lvl w:ilvl="0" w:tplc="9998CC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D52F58E">
      <w:numFmt w:val="decimal"/>
      <w:lvlText w:val=""/>
      <w:lvlJc w:val="left"/>
    </w:lvl>
    <w:lvl w:ilvl="2" w:tplc="CCC2D3F0">
      <w:numFmt w:val="decimal"/>
      <w:lvlText w:val=""/>
      <w:lvlJc w:val="left"/>
    </w:lvl>
    <w:lvl w:ilvl="3" w:tplc="598601DA">
      <w:numFmt w:val="decimal"/>
      <w:lvlText w:val=""/>
      <w:lvlJc w:val="left"/>
    </w:lvl>
    <w:lvl w:ilvl="4" w:tplc="83EA47C8">
      <w:numFmt w:val="decimal"/>
      <w:lvlText w:val=""/>
      <w:lvlJc w:val="left"/>
    </w:lvl>
    <w:lvl w:ilvl="5" w:tplc="5AE80556">
      <w:numFmt w:val="decimal"/>
      <w:lvlText w:val=""/>
      <w:lvlJc w:val="left"/>
    </w:lvl>
    <w:lvl w:ilvl="6" w:tplc="2C52A7B0">
      <w:numFmt w:val="decimal"/>
      <w:lvlText w:val=""/>
      <w:lvlJc w:val="left"/>
    </w:lvl>
    <w:lvl w:ilvl="7" w:tplc="A8622CDA">
      <w:numFmt w:val="decimal"/>
      <w:lvlText w:val=""/>
      <w:lvlJc w:val="left"/>
    </w:lvl>
    <w:lvl w:ilvl="8" w:tplc="1E9A3D5E">
      <w:numFmt w:val="decimal"/>
      <w:lvlText w:val=""/>
      <w:lvlJc w:val="left"/>
    </w:lvl>
  </w:abstractNum>
  <w:num w:numId="1" w16cid:durableId="952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F81"/>
    <w:rsid w:val="00022457"/>
    <w:rsid w:val="000A378E"/>
    <w:rsid w:val="000A3AC1"/>
    <w:rsid w:val="0012042A"/>
    <w:rsid w:val="002763F0"/>
    <w:rsid w:val="00292069"/>
    <w:rsid w:val="002C70C5"/>
    <w:rsid w:val="003D3614"/>
    <w:rsid w:val="004B0D0D"/>
    <w:rsid w:val="00520A68"/>
    <w:rsid w:val="00520BCC"/>
    <w:rsid w:val="005F45A1"/>
    <w:rsid w:val="005F5028"/>
    <w:rsid w:val="00715F81"/>
    <w:rsid w:val="00753881"/>
    <w:rsid w:val="00764964"/>
    <w:rsid w:val="00776903"/>
    <w:rsid w:val="007C6E13"/>
    <w:rsid w:val="00820F71"/>
    <w:rsid w:val="00836DAF"/>
    <w:rsid w:val="00837597"/>
    <w:rsid w:val="008673A0"/>
    <w:rsid w:val="00993270"/>
    <w:rsid w:val="00A96894"/>
    <w:rsid w:val="00AC4073"/>
    <w:rsid w:val="00BC032C"/>
    <w:rsid w:val="00CD2114"/>
    <w:rsid w:val="00CF19FD"/>
    <w:rsid w:val="00D0146E"/>
    <w:rsid w:val="00D21072"/>
    <w:rsid w:val="00DA3687"/>
    <w:rsid w:val="00E155A8"/>
    <w:rsid w:val="00E57D8E"/>
    <w:rsid w:val="00EC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AD601"/>
  <w15:docId w15:val="{7A37D71E-8482-4B00-BC59-6D34E632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2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styleId="a3">
    <w:name w:val="Table Grid"/>
    <w:basedOn w:val="a1"/>
    <w:uiPriority w:val="39"/>
    <w:rsid w:val="00CF1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92069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20BCC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CD2114"/>
    <w:pPr>
      <w:spacing w:before="100" w:beforeAutospacing="1" w:after="100" w:afterAutospacing="1"/>
    </w:pPr>
    <w:rPr>
      <w:rFonts w:eastAsiaTheme="minorEastAsia"/>
    </w:rPr>
  </w:style>
  <w:style w:type="paragraph" w:customStyle="1" w:styleId="msonormal0">
    <w:name w:val="msonormal"/>
    <w:basedOn w:val="a"/>
    <w:rsid w:val="000A3AC1"/>
    <w:pPr>
      <w:spacing w:before="100" w:beforeAutospacing="1" w:after="100" w:afterAutospacing="1"/>
    </w:pPr>
    <w:rPr>
      <w:rFonts w:eastAsiaTheme="minorEastAsia"/>
    </w:rPr>
  </w:style>
  <w:style w:type="paragraph" w:styleId="HTML0">
    <w:name w:val="HTML Preformatted"/>
    <w:basedOn w:val="a"/>
    <w:link w:val="HTML1"/>
    <w:uiPriority w:val="99"/>
    <w:semiHidden/>
    <w:unhideWhenUsed/>
    <w:rsid w:val="000A3A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A3AC1"/>
    <w:rPr>
      <w:rFonts w:ascii="Courier New" w:eastAsiaTheme="minorEastAsia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0A3AC1"/>
    <w:rPr>
      <w:color w:val="467886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A3AC1"/>
    <w:rPr>
      <w:color w:val="605E5C"/>
      <w:shd w:val="clear" w:color="auto" w:fill="E1DFDD"/>
    </w:rPr>
  </w:style>
  <w:style w:type="paragraph" w:customStyle="1" w:styleId="1">
    <w:name w:val="Стиль1"/>
    <w:basedOn w:val="a"/>
    <w:link w:val="10"/>
    <w:qFormat/>
    <w:rsid w:val="00A96894"/>
    <w:pPr>
      <w:spacing w:after="100"/>
      <w:ind w:firstLine="567"/>
      <w:jc w:val="both"/>
    </w:pPr>
    <w:rPr>
      <w:rFonts w:asciiTheme="majorHAnsi" w:eastAsia="source serif 4" w:hAnsiTheme="majorHAnsi" w:cstheme="majorHAnsi"/>
      <w:color w:val="000000"/>
    </w:rPr>
  </w:style>
  <w:style w:type="character" w:customStyle="1" w:styleId="10">
    <w:name w:val="Стиль1 Знак"/>
    <w:basedOn w:val="a0"/>
    <w:link w:val="1"/>
    <w:rsid w:val="00A96894"/>
    <w:rPr>
      <w:rFonts w:asciiTheme="majorHAnsi" w:eastAsia="source serif 4" w:hAnsiTheme="majorHAnsi" w:cstheme="majorHAnsi"/>
      <w:color w:val="000000"/>
      <w:sz w:val="24"/>
      <w:szCs w:val="24"/>
      <w:lang w:eastAsia="ru-RU"/>
    </w:rPr>
  </w:style>
  <w:style w:type="paragraph" w:customStyle="1" w:styleId="2">
    <w:name w:val="Стиль2"/>
    <w:basedOn w:val="1"/>
    <w:link w:val="20"/>
    <w:qFormat/>
    <w:rsid w:val="00A96894"/>
  </w:style>
  <w:style w:type="character" w:customStyle="1" w:styleId="20">
    <w:name w:val="Стиль2 Знак"/>
    <w:basedOn w:val="10"/>
    <w:link w:val="2"/>
    <w:rsid w:val="00A96894"/>
    <w:rPr>
      <w:rFonts w:asciiTheme="majorHAnsi" w:eastAsia="source serif 4" w:hAnsiTheme="majorHAnsi" w:cstheme="majorHAnsi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2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1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lex-Samarkin/NVartovsk202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F7ED973-B7B7-44D3-8907-B86FF989033C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3BE0C-52DA-42DD-B2FD-8A2BF3501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7</Pages>
  <Words>2861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Alex Samarkin</cp:lastModifiedBy>
  <cp:revision>13</cp:revision>
  <dcterms:created xsi:type="dcterms:W3CDTF">2026-09-23T11:39:00Z</dcterms:created>
  <dcterms:modified xsi:type="dcterms:W3CDTF">2026-10-02T14:40:00Z</dcterms:modified>
</cp:coreProperties>
</file>