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Идентификация параметров волны заболеваемости с применением дифференциальных уравнений дробного порядка</w:t>
      </w:r>
    </w:p>
    <w:p>
      <w:pPr>
        <w:jc w:val="both"/>
      </w:pPr>
      <w:r>
        <w:rPr>
          <w:b/>
        </w:rPr>
        <w:t>Аннотация.</w:t>
      </w:r>
      <w:r>
        <w:t xml:space="preserve"> Рассматривается идентификация параметров отдельной волны заболеваемости по открытым данным о городах и регионах. Показано, что классическая SIR-модель с постоянными коэффициентами в пределах эпидемиологически осмысленной области параметров систематически занижает репродуктивное число и не воспроизводит наблюдаемую асимметрию волны (быстрый подъём при медленном спаде). Предложено описывать волну SIR-моделью с производной Капуто порядка α ∈ (0, 1], вносящей в динамику эффект памяти. Численная реализация основана на схеме L1, корректность которой подтверждена сопоставлением с функцией Миттаг-Леффлера. Идентификация проведена для семи территорий четырёх стран (Москва, Псковская, Калининградская и Новгородская области, Нью-Йорк, Милан, Дели) по воспроизводимым открытым наборам данных. Дробная модель значимо улучшает описание для пяти территорий из семи (ΔAIC от 24 до 469, снижение RMSE до 78 %); оценки α лежат в диапазоне 0,387–0,990 и устойчивы к вариации длительности инфекционного периода. Для Новгородской области и Дели α статистически неотличим от единицы, то есть классическая модель там достаточна.</w:t>
      </w:r>
    </w:p>
    <w:p>
      <w:pPr>
        <w:jc w:val="both"/>
      </w:pPr>
      <w:r>
        <w:rPr>
          <w:b/>
        </w:rPr>
        <w:t>Ключевые слова:</w:t>
      </w:r>
      <w:r>
        <w:t xml:space="preserve"> дробная производная Капуто; SIR-модель; идентификация параметров; волна заболеваемости; функция Миттаг-Леффлера; схема L1; COVID-19.</w:t>
      </w:r>
    </w:p>
    <w:p>
      <w:pPr>
        <w:pStyle w:val="Heading2"/>
      </w:pPr>
      <w:r>
        <w:t>1. Введение</w:t>
      </w:r>
    </w:p>
    <w:p>
      <w:pPr>
        <w:jc w:val="both"/>
      </w:pPr>
      <w:r>
        <w:t>Волна заболеваемости — характерная форма развития эпидемии: число новых случаев растёт, достигает максимума и затем убывает. Для количественного описания волны традиционно используются компартментные модели, прежде всего модель SIR [17, 18]. Однако при идентификации параметров одиночной волны классическая SIR-модель с постоянными коэффициентами сталкивается с принципиальной трудностью: спад волны в ней возможен лишь за счёт истощения восприимчивой части популяции, тогда как реальное снижение заболеваемости в первую очередь определяется изменением поведения и ограничительными мерами [19]. Как следствие, модель либо требует нереалистичной доли переболевших, либо не воспроизводит наблюдаемую форму кривой.</w:t>
      </w:r>
    </w:p>
    <w:p>
      <w:pPr>
        <w:jc w:val="both"/>
      </w:pPr>
      <w:r>
        <w:t xml:space="preserve">Один из способов учесть немонотонный характер контактов, не вводя явно зависящие от времени коэффициенты, — заменить обычную производную по времени дробной производной порядка α &lt; 1. Такая замена придаёт модели нелокальность: скорость изменения состояния определяется всей предысторией процесса, а не только текущим моментом. Дробные эпидемиологические модели рассматривались в работах [11–16]; при этом вопрос о том, </w:t>
      </w:r>
      <w:r>
        <w:rPr>
          <w:i/>
        </w:rPr>
        <w:t>насколько</w:t>
      </w:r>
      <w:r>
        <w:t xml:space="preserve"> порядок α улучшает именно задачу идентификации параметров отдельной волны и при каких условиях классическая модель остаётся достаточной, изучен недостаточно.</w:t>
      </w:r>
    </w:p>
    <w:p>
      <w:pPr>
        <w:jc w:val="both"/>
      </w:pPr>
      <w:r>
        <w:t>Цель работы — сравнить оценки параметров волны, получаемые классической SIR-моделью и её дробным аналогом с производной Капуто, на едином протоколе идентификации и на открытых данных о нескольких территориях, и выяснить, в каких случаях добавление порядка α оправдано.</w:t>
      </w:r>
    </w:p>
    <w:p>
      <w:pPr>
        <w:jc w:val="both"/>
      </w:pPr>
      <w:r>
        <w:t>Новизна работы состоит в следующем: (а) предложена параметризация дробной SIR-модели через эпидемиологически интерпретируемые величины R₀ и λ, корректная при любом α и обеспечивающая сопоставимость оценок между моделями и территориями; (б) проведён единый численный эксперимент для семи территорий четырёх стран; (в) показано, что порядок α является устойчивым дескриптором волны, а отказ от него статистически оправдан лишь для части территорий.</w:t>
      </w:r>
    </w:p>
    <w:p>
      <w:pPr>
        <w:pStyle w:val="Heading2"/>
      </w:pPr>
      <w:r>
        <w:t>2. Дробные производные Капуто и их физический смысл</w:t>
      </w:r>
    </w:p>
    <w:p>
      <w:pPr>
        <w:jc w:val="both"/>
      </w:pPr>
      <w:r>
        <w:rPr>
          <w:b/>
        </w:rPr>
        <w:t>Определение.</w:t>
      </w:r>
      <w:r>
        <w:t xml:space="preserve"> Пусть y(t) — функция, заданная при t ≥ 0. Дробная производная Капуто порядка α ∈ (0, 1) определяется как [1, 2]</w:t>
      </w:r>
    </w:p>
    <w:p>
      <w:pPr>
        <w:jc w:val="center"/>
      </w:pPr>
      <w:r>
        <w:t>ᴰ</w:t>
      </w:r>
      <w:r>
        <w:rPr>
          <w:vertAlign w:val="subscript"/>
        </w:rPr>
        <w:t>C</w:t>
      </w:r>
      <w:r>
        <w:rPr>
          <w:vertAlign w:val="superscript"/>
        </w:rPr>
        <w:t>α</w:t>
      </w:r>
      <w:r>
        <w:t xml:space="preserve"> y(t) = (1/Γ(1−α)) ∫₀ᵗ (t − s)</w:t>
      </w:r>
      <w:r>
        <w:rPr>
          <w:vertAlign w:val="superscript"/>
        </w:rPr>
        <w:t>−α</w:t>
      </w:r>
      <w:r>
        <w:t xml:space="preserve"> y′(s) ds,  (1)</w:t>
      </w:r>
    </w:p>
    <w:p>
      <w:pPr>
        <w:jc w:val="both"/>
      </w:pPr>
      <w:r>
        <w:t>где Γ(·) — гамма-функция. В отличие от производной Римана–Лиувилля, определение (1) содержит производную обычного порядка под интегралом. Благодаря этому дробная производная Капуто от постоянной равна нулю, что позволяет формулировать начальные задачи в привычном виде и сохраняет физическую размерность: если y имеет размерность [y], а t — [t], то ᴰ</w:t>
      </w:r>
      <w:r>
        <w:rPr>
          <w:vertAlign w:val="subscript"/>
        </w:rPr>
        <w:t>C</w:t>
      </w:r>
      <w:r>
        <w:rPr>
          <w:vertAlign w:val="superscript"/>
        </w:rPr>
        <w:t>α</w:t>
      </w:r>
      <w:r>
        <w:t xml:space="preserve"> y имеет размерность [y]·[t]</w:t>
      </w:r>
      <w:r>
        <w:rPr>
          <w:vertAlign w:val="superscript"/>
        </w:rPr>
        <w:t>−α</w:t>
      </w:r>
      <w:r>
        <w:t xml:space="preserve"> [3, 5].</w:t>
      </w:r>
    </w:p>
    <w:p>
      <w:pPr>
        <w:jc w:val="both"/>
      </w:pPr>
      <w:r>
        <w:rPr>
          <w:b/>
        </w:rPr>
        <w:t>Предельные случаи и память.</w:t>
      </w:r>
      <w:r>
        <w:t xml:space="preserve"> При α → 1 определение (1) переходит в обычную производную y′(t), при α → 0 — в y(t) − y(0). Ядро (t − s)</w:t>
      </w:r>
      <w:r>
        <w:rPr>
          <w:vertAlign w:val="superscript"/>
        </w:rPr>
        <w:t>−α</w:t>
      </w:r>
      <w:r>
        <w:t xml:space="preserve"> убывает степенным образом, то есть влияние прошлого ослабевает медленно; говорят, что оператор обладает </w:t>
      </w:r>
      <w:r>
        <w:rPr>
          <w:i/>
        </w:rPr>
        <w:t>памятью</w:t>
      </w:r>
      <w:r>
        <w:t>. Дробным аналогом экспоненты служит функция Миттаг-Леффлера</w:t>
      </w:r>
    </w:p>
    <w:p>
      <w:pPr>
        <w:jc w:val="center"/>
      </w:pPr>
      <w:r>
        <w:t>E</w:t>
      </w:r>
      <w:r>
        <w:rPr>
          <w:vertAlign w:val="subscript"/>
        </w:rPr>
        <w:t>α</w:t>
      </w:r>
      <w:r>
        <w:t>(z) = Σ</w:t>
      </w:r>
      <w:r>
        <w:rPr>
          <w:vertAlign w:val="subscript"/>
        </w:rPr>
        <w:t>k≥0</w:t>
      </w:r>
      <w:r>
        <w:t xml:space="preserve"> z</w:t>
      </w:r>
      <w:r>
        <w:rPr>
          <w:vertAlign w:val="superscript"/>
        </w:rPr>
        <w:t>k</w:t>
      </w:r>
      <w:r>
        <w:t xml:space="preserve"> / Γ(αk + 1),  (2)</w:t>
      </w:r>
    </w:p>
    <w:p>
      <w:pPr>
        <w:jc w:val="both"/>
      </w:pPr>
      <w:r>
        <w:t>которая является решением задачи ᴰ</w:t>
      </w:r>
      <w:r>
        <w:rPr>
          <w:vertAlign w:val="subscript"/>
        </w:rPr>
        <w:t>C</w:t>
      </w:r>
      <w:r>
        <w:rPr>
          <w:vertAlign w:val="superscript"/>
        </w:rPr>
        <w:t>α</w:t>
      </w:r>
      <w:r>
        <w:t xml:space="preserve"> y = −λy, y(0) = 1: y(t) = E</w:t>
      </w:r>
      <w:r>
        <w:rPr>
          <w:vertAlign w:val="subscript"/>
        </w:rPr>
        <w:t>α</w:t>
      </w:r>
      <w:r>
        <w:t>(−λt</w:t>
      </w:r>
      <w:r>
        <w:rPr>
          <w:vertAlign w:val="superscript"/>
        </w:rPr>
        <w:t>α</w:t>
      </w:r>
      <w:r>
        <w:t>) [2, 3]. При α = 1 функция (2) совпадает с экспонентой. Именно функция (2) используется ниже для верификации численной схемы.</w:t>
      </w:r>
    </w:p>
    <w:p>
      <w:pPr>
        <w:jc w:val="both"/>
      </w:pPr>
      <w:r>
        <w:rPr>
          <w:b/>
        </w:rPr>
        <w:t>Физический смысл α в эпидемиологии.</w:t>
      </w:r>
      <w:r>
        <w:t xml:space="preserve"> В компартментных моделях порядок α не является биологической характеристикой возбудителя. Он описывает коллективное свойство популяции: насколько отклик числа новых заражений запаздывает относительно текущей обстановки. Чем меньше α, тем сильнее выражена инерция — длиннее «хвост» волны при той же начальной скорости роста. В терминах теории случайных процессов α &lt; 1 соответствует субдиффузионному режиму блуждания, а в терминах теории управления — дробному порядку системы с распределённым запаздыванием. Существенно, что малое α не означает «медленную эпидемию»: скорость начального роста и порядок α — независимые характеристики.</w:t>
      </w:r>
    </w:p>
    <w:p>
      <w:pPr>
        <w:jc w:val="both"/>
      </w:pPr>
      <w:r>
        <w:rPr>
          <w:b/>
        </w:rPr>
        <w:t>Связь параметров.</w:t>
      </w:r>
      <w:r>
        <w:t xml:space="preserve"> Для линейного приближения модели SIR в окрестности эпидемического порога справедливо соотношение λ</w:t>
      </w:r>
      <w:r>
        <w:rPr>
          <w:vertAlign w:val="superscript"/>
        </w:rPr>
        <w:t>α</w:t>
      </w:r>
      <w:r>
        <w:t xml:space="preserve"> = β − γ, где λ — начальная скорость экспоненциального роста (сут</w:t>
      </w:r>
      <w:r>
        <w:rPr>
          <w:vertAlign w:val="superscript"/>
        </w:rPr>
        <w:t>−1</w:t>
      </w:r>
      <w:r>
        <w:t>), β — скорость инфекции, γ — скорость выбывания инфицированных. Обратно, λ = (β − γ)</w:t>
      </w:r>
      <w:r>
        <w:rPr>
          <w:vertAlign w:val="superscript"/>
        </w:rPr>
        <w:t>1/α</w:t>
      </w:r>
      <w:r>
        <w:t>, то есть при уменьшении α та же начальная скорость роста достигается при меньшей разности β − γ.</w:t>
      </w:r>
    </w:p>
    <w:p>
      <w:pPr>
        <w:pStyle w:val="Heading2"/>
      </w:pPr>
      <w:r>
        <w:t>3. Данные и объекты исследования</w:t>
      </w:r>
    </w:p>
    <w:p>
      <w:pPr>
        <w:jc w:val="both"/>
      </w:pPr>
      <w:r>
        <w:t xml:space="preserve">Использованы четыре открытых машиночитаемых набора данных, доступных для скачивания и снабжённых фиксированными URL и контрольными суммами SHA-256 (загрузчик </w:t>
      </w:r>
      <w:r>
        <w:rPr>
          <w:rFonts w:ascii="Consolas" w:hAnsi="Consolas"/>
          <w:sz w:val="18"/>
        </w:rPr>
        <w:t>code/fetch_data.js</w:t>
      </w:r>
      <w:r>
        <w:t xml:space="preserve">, манифест </w:t>
      </w:r>
      <w:r>
        <w:rPr>
          <w:rFonts w:ascii="Consolas" w:hAnsi="Consolas"/>
          <w:sz w:val="18"/>
        </w:rPr>
        <w:t>data/manifest.json</w:t>
      </w:r>
      <w:r>
        <w:t>). Состав территорий и окна наблюдения приведены в табл. 1.</w:t>
      </w:r>
    </w:p>
    <w:p>
      <w:pPr>
        <w:jc w:val="both"/>
      </w:pPr>
      <w:r>
        <w:t>Правило выбора окна: окно охватывает полностью наблюдаемые фазы роста и спада одной волны, а суточная заболеваемость на его границах мала по сравнению с пиком. Для территорий России источник содержит только период 26.03–17.10.2020, поэтому рассматривается первая волна; для Дели данные начинаются 12.09.2020, поэтому взята первая полностью наблюдаемая волна — волна «дельта» весны 2021 г. Наблюдаемой величиной служит накопленное внутри окна число подтверждённых случаев; для контроля используется суточная кривая, сглаженная скользящим средним за 7 суток.</w:t>
      </w:r>
    </w:p>
    <w:p>
      <w:pPr>
        <w:jc w:val="both"/>
      </w:pPr>
      <w:r>
        <w:t>Отметим неоднородность регистрации: число подтверждённых случаев составляет лишь долю истинного числа заражений, поэтому в модель введена эффективная численность популяции A (см. § 5).</w:t>
      </w:r>
    </w:p>
    <w:p>
      <w:pPr>
        <w:jc w:val="both"/>
      </w:pPr>
      <w:r>
        <w:rPr>
          <w:b/>
        </w:rPr>
        <w:t>Таблица 1. Территории, источники данных и окна наблюдения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1425"/>
        <w:gridCol w:w="1425"/>
        <w:gridCol w:w="1425"/>
        <w:gridCol w:w="1425"/>
        <w:gridCol w:w="1425"/>
        <w:gridCol w:w="1425"/>
        <w:gridCol w:w="1425"/>
      </w:tblGrid>
      <w:tr>
        <w:tc>
          <w:tcPr>
            <w:tcW w:type="dxa" w:w="2817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Территория</w:t>
            </w:r>
          </w:p>
        </w:tc>
        <w:tc>
          <w:tcPr>
            <w:tcW w:type="dxa" w:w="735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Страна</w:t>
            </w:r>
          </w:p>
        </w:tc>
        <w:tc>
          <w:tcPr>
            <w:tcW w:type="dxa" w:w="1347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Тип единицы</w:t>
            </w:r>
          </w:p>
        </w:tc>
        <w:tc>
          <w:tcPr>
            <w:tcW w:type="dxa" w:w="1225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Население</w:t>
            </w:r>
          </w:p>
        </w:tc>
        <w:tc>
          <w:tcPr>
            <w:tcW w:type="dxa" w:w="980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Источник</w:t>
            </w:r>
          </w:p>
        </w:tc>
        <w:tc>
          <w:tcPr>
            <w:tcW w:type="dxa" w:w="2817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Окно</w:t>
            </w:r>
          </w:p>
        </w:tc>
        <w:tc>
          <w:tcPr>
            <w:tcW w:type="dxa" w:w="735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n, сут</w:t>
            </w:r>
          </w:p>
        </w:tc>
      </w:tr>
      <w:tr>
        <w:tc>
          <w:tcPr>
            <w:tcW w:type="dxa" w:w="2817"/>
          </w:tcPr>
          <w:p>
            <w:pPr>
              <w:spacing w:after="0" w:line="240" w:lineRule="auto"/>
            </w:pPr>
            <w:r>
              <w:rPr>
                <w:sz w:val="15"/>
              </w:rPr>
              <w:t>Москва</w:t>
            </w:r>
          </w:p>
        </w:tc>
        <w:tc>
          <w:tcPr>
            <w:tcW w:type="dxa" w:w="735"/>
          </w:tcPr>
          <w:p>
            <w:pPr>
              <w:spacing w:after="0" w:line="240" w:lineRule="auto"/>
            </w:pPr>
            <w:r>
              <w:rPr>
                <w:sz w:val="15"/>
              </w:rPr>
              <w:t>Россия</w:t>
            </w:r>
          </w:p>
        </w:tc>
        <w:tc>
          <w:tcPr>
            <w:tcW w:type="dxa" w:w="1347"/>
          </w:tcPr>
          <w:p>
            <w:pPr>
              <w:spacing w:after="0" w:line="240" w:lineRule="auto"/>
            </w:pPr>
            <w:r>
              <w:rPr>
                <w:sz w:val="15"/>
              </w:rPr>
              <w:t>город</w:t>
            </w:r>
          </w:p>
        </w:tc>
        <w:tc>
          <w:tcPr>
            <w:tcW w:type="dxa" w:w="1225"/>
          </w:tcPr>
          <w:p>
            <w:pPr>
              <w:spacing w:after="0" w:line="240" w:lineRule="auto"/>
            </w:pPr>
            <w:r>
              <w:rPr>
                <w:sz w:val="15"/>
              </w:rPr>
              <w:t>12 678 079</w:t>
            </w:r>
          </w:p>
        </w:tc>
        <w:tc>
          <w:tcPr>
            <w:tcW w:type="dxa" w:w="980"/>
          </w:tcPr>
          <w:p>
            <w:pPr>
              <w:spacing w:after="0" w:line="240" w:lineRule="auto"/>
            </w:pPr>
            <w:r>
              <w:rPr>
                <w:sz w:val="15"/>
              </w:rPr>
              <w:t>[25]</w:t>
            </w:r>
          </w:p>
        </w:tc>
        <w:tc>
          <w:tcPr>
            <w:tcW w:type="dxa" w:w="2817"/>
          </w:tcPr>
          <w:p>
            <w:pPr>
              <w:spacing w:after="0" w:line="240" w:lineRule="auto"/>
            </w:pPr>
            <w:r>
              <w:rPr>
                <w:sz w:val="15"/>
              </w:rPr>
              <w:t>2020-03-26 — 2020-08-15</w:t>
            </w:r>
          </w:p>
        </w:tc>
        <w:tc>
          <w:tcPr>
            <w:tcW w:type="dxa" w:w="735"/>
          </w:tcPr>
          <w:p>
            <w:pPr>
              <w:spacing w:after="0" w:line="240" w:lineRule="auto"/>
            </w:pPr>
            <w:r>
              <w:rPr>
                <w:sz w:val="15"/>
              </w:rPr>
              <w:t>143</w:t>
            </w:r>
          </w:p>
        </w:tc>
      </w:tr>
      <w:tr>
        <w:tc>
          <w:tcPr>
            <w:tcW w:type="dxa" w:w="2817"/>
          </w:tcPr>
          <w:p>
            <w:pPr>
              <w:spacing w:after="0" w:line="240" w:lineRule="auto"/>
            </w:pPr>
            <w:r>
              <w:rPr>
                <w:sz w:val="15"/>
              </w:rPr>
              <w:t>Псковская область</w:t>
            </w:r>
          </w:p>
        </w:tc>
        <w:tc>
          <w:tcPr>
            <w:tcW w:type="dxa" w:w="735"/>
          </w:tcPr>
          <w:p>
            <w:pPr>
              <w:spacing w:after="0" w:line="240" w:lineRule="auto"/>
            </w:pPr>
            <w:r>
              <w:rPr>
                <w:sz w:val="15"/>
              </w:rPr>
              <w:t>Россия</w:t>
            </w:r>
          </w:p>
        </w:tc>
        <w:tc>
          <w:tcPr>
            <w:tcW w:type="dxa" w:w="1347"/>
          </w:tcPr>
          <w:p>
            <w:pPr>
              <w:spacing w:after="0" w:line="240" w:lineRule="auto"/>
            </w:pPr>
            <w:r>
              <w:rPr>
                <w:sz w:val="15"/>
              </w:rPr>
              <w:t>регион</w:t>
            </w:r>
          </w:p>
        </w:tc>
        <w:tc>
          <w:tcPr>
            <w:tcW w:type="dxa" w:w="1225"/>
          </w:tcPr>
          <w:p>
            <w:pPr>
              <w:spacing w:after="0" w:line="240" w:lineRule="auto"/>
            </w:pPr>
            <w:r>
              <w:rPr>
                <w:sz w:val="15"/>
              </w:rPr>
              <w:t>626 115</w:t>
            </w:r>
          </w:p>
        </w:tc>
        <w:tc>
          <w:tcPr>
            <w:tcW w:type="dxa" w:w="980"/>
          </w:tcPr>
          <w:p>
            <w:pPr>
              <w:spacing w:after="0" w:line="240" w:lineRule="auto"/>
            </w:pPr>
            <w:r>
              <w:rPr>
                <w:sz w:val="15"/>
              </w:rPr>
              <w:t>[25]</w:t>
            </w:r>
          </w:p>
        </w:tc>
        <w:tc>
          <w:tcPr>
            <w:tcW w:type="dxa" w:w="2817"/>
          </w:tcPr>
          <w:p>
            <w:pPr>
              <w:spacing w:after="0" w:line="240" w:lineRule="auto"/>
            </w:pPr>
            <w:r>
              <w:rPr>
                <w:sz w:val="15"/>
              </w:rPr>
              <w:t>2020-03-26 — 2020-08-15</w:t>
            </w:r>
          </w:p>
        </w:tc>
        <w:tc>
          <w:tcPr>
            <w:tcW w:type="dxa" w:w="735"/>
          </w:tcPr>
          <w:p>
            <w:pPr>
              <w:spacing w:after="0" w:line="240" w:lineRule="auto"/>
            </w:pPr>
            <w:r>
              <w:rPr>
                <w:sz w:val="15"/>
              </w:rPr>
              <w:t>143</w:t>
            </w:r>
          </w:p>
        </w:tc>
      </w:tr>
      <w:tr>
        <w:tc>
          <w:tcPr>
            <w:tcW w:type="dxa" w:w="2817"/>
          </w:tcPr>
          <w:p>
            <w:pPr>
              <w:spacing w:after="0" w:line="240" w:lineRule="auto"/>
            </w:pPr>
            <w:r>
              <w:rPr>
                <w:sz w:val="15"/>
              </w:rPr>
              <w:t>Калининградская область</w:t>
            </w:r>
          </w:p>
        </w:tc>
        <w:tc>
          <w:tcPr>
            <w:tcW w:type="dxa" w:w="735"/>
          </w:tcPr>
          <w:p>
            <w:pPr>
              <w:spacing w:after="0" w:line="240" w:lineRule="auto"/>
            </w:pPr>
            <w:r>
              <w:rPr>
                <w:sz w:val="15"/>
              </w:rPr>
              <w:t>Россия</w:t>
            </w:r>
          </w:p>
        </w:tc>
        <w:tc>
          <w:tcPr>
            <w:tcW w:type="dxa" w:w="1347"/>
          </w:tcPr>
          <w:p>
            <w:pPr>
              <w:spacing w:after="0" w:line="240" w:lineRule="auto"/>
            </w:pPr>
            <w:r>
              <w:rPr>
                <w:sz w:val="15"/>
              </w:rPr>
              <w:t>регион</w:t>
            </w:r>
          </w:p>
        </w:tc>
        <w:tc>
          <w:tcPr>
            <w:tcW w:type="dxa" w:w="1225"/>
          </w:tcPr>
          <w:p>
            <w:pPr>
              <w:spacing w:after="0" w:line="240" w:lineRule="auto"/>
            </w:pPr>
            <w:r>
              <w:rPr>
                <w:sz w:val="15"/>
              </w:rPr>
              <w:t>1 012 512</w:t>
            </w:r>
          </w:p>
        </w:tc>
        <w:tc>
          <w:tcPr>
            <w:tcW w:type="dxa" w:w="980"/>
          </w:tcPr>
          <w:p>
            <w:pPr>
              <w:spacing w:after="0" w:line="240" w:lineRule="auto"/>
            </w:pPr>
            <w:r>
              <w:rPr>
                <w:sz w:val="15"/>
              </w:rPr>
              <w:t>[25]</w:t>
            </w:r>
          </w:p>
        </w:tc>
        <w:tc>
          <w:tcPr>
            <w:tcW w:type="dxa" w:w="2817"/>
          </w:tcPr>
          <w:p>
            <w:pPr>
              <w:spacing w:after="0" w:line="240" w:lineRule="auto"/>
            </w:pPr>
            <w:r>
              <w:rPr>
                <w:sz w:val="15"/>
              </w:rPr>
              <w:t>2020-03-26 — 2020-08-15</w:t>
            </w:r>
          </w:p>
        </w:tc>
        <w:tc>
          <w:tcPr>
            <w:tcW w:type="dxa" w:w="735"/>
          </w:tcPr>
          <w:p>
            <w:pPr>
              <w:spacing w:after="0" w:line="240" w:lineRule="auto"/>
            </w:pPr>
            <w:r>
              <w:rPr>
                <w:sz w:val="15"/>
              </w:rPr>
              <w:t>143</w:t>
            </w:r>
          </w:p>
        </w:tc>
      </w:tr>
      <w:tr>
        <w:tc>
          <w:tcPr>
            <w:tcW w:type="dxa" w:w="2817"/>
          </w:tcPr>
          <w:p>
            <w:pPr>
              <w:spacing w:after="0" w:line="240" w:lineRule="auto"/>
            </w:pPr>
            <w:r>
              <w:rPr>
                <w:sz w:val="15"/>
              </w:rPr>
              <w:t>Новгородская область</w:t>
            </w:r>
          </w:p>
        </w:tc>
        <w:tc>
          <w:tcPr>
            <w:tcW w:type="dxa" w:w="735"/>
          </w:tcPr>
          <w:p>
            <w:pPr>
              <w:spacing w:after="0" w:line="240" w:lineRule="auto"/>
            </w:pPr>
            <w:r>
              <w:rPr>
                <w:sz w:val="15"/>
              </w:rPr>
              <w:t>Россия</w:t>
            </w:r>
          </w:p>
        </w:tc>
        <w:tc>
          <w:tcPr>
            <w:tcW w:type="dxa" w:w="1347"/>
          </w:tcPr>
          <w:p>
            <w:pPr>
              <w:spacing w:after="0" w:line="240" w:lineRule="auto"/>
            </w:pPr>
            <w:r>
              <w:rPr>
                <w:sz w:val="15"/>
              </w:rPr>
              <w:t>регион</w:t>
            </w:r>
          </w:p>
        </w:tc>
        <w:tc>
          <w:tcPr>
            <w:tcW w:type="dxa" w:w="1225"/>
          </w:tcPr>
          <w:p>
            <w:pPr>
              <w:spacing w:after="0" w:line="240" w:lineRule="auto"/>
            </w:pPr>
            <w:r>
              <w:rPr>
                <w:sz w:val="15"/>
              </w:rPr>
              <w:t>596 508</w:t>
            </w:r>
          </w:p>
        </w:tc>
        <w:tc>
          <w:tcPr>
            <w:tcW w:type="dxa" w:w="980"/>
          </w:tcPr>
          <w:p>
            <w:pPr>
              <w:spacing w:after="0" w:line="240" w:lineRule="auto"/>
            </w:pPr>
            <w:r>
              <w:rPr>
                <w:sz w:val="15"/>
              </w:rPr>
              <w:t>[25]</w:t>
            </w:r>
          </w:p>
        </w:tc>
        <w:tc>
          <w:tcPr>
            <w:tcW w:type="dxa" w:w="2817"/>
          </w:tcPr>
          <w:p>
            <w:pPr>
              <w:spacing w:after="0" w:line="240" w:lineRule="auto"/>
            </w:pPr>
            <w:r>
              <w:rPr>
                <w:sz w:val="15"/>
              </w:rPr>
              <w:t>2020-03-26 — 2020-08-15</w:t>
            </w:r>
          </w:p>
        </w:tc>
        <w:tc>
          <w:tcPr>
            <w:tcW w:type="dxa" w:w="735"/>
          </w:tcPr>
          <w:p>
            <w:pPr>
              <w:spacing w:after="0" w:line="240" w:lineRule="auto"/>
            </w:pPr>
            <w:r>
              <w:rPr>
                <w:sz w:val="15"/>
              </w:rPr>
              <w:t>143</w:t>
            </w:r>
          </w:p>
        </w:tc>
      </w:tr>
      <w:tr>
        <w:tc>
          <w:tcPr>
            <w:tcW w:type="dxa" w:w="2817"/>
          </w:tcPr>
          <w:p>
            <w:pPr>
              <w:spacing w:after="0" w:line="240" w:lineRule="auto"/>
            </w:pPr>
            <w:r>
              <w:rPr>
                <w:sz w:val="15"/>
              </w:rPr>
              <w:t>Нью-Йорк</w:t>
            </w:r>
          </w:p>
        </w:tc>
        <w:tc>
          <w:tcPr>
            <w:tcW w:type="dxa" w:w="735"/>
          </w:tcPr>
          <w:p>
            <w:pPr>
              <w:spacing w:after="0" w:line="240" w:lineRule="auto"/>
            </w:pPr>
            <w:r>
              <w:rPr>
                <w:sz w:val="15"/>
              </w:rPr>
              <w:t>США</w:t>
            </w:r>
          </w:p>
        </w:tc>
        <w:tc>
          <w:tcPr>
            <w:tcW w:type="dxa" w:w="1347"/>
          </w:tcPr>
          <w:p>
            <w:pPr>
              <w:spacing w:after="0" w:line="240" w:lineRule="auto"/>
            </w:pPr>
            <w:r>
              <w:rPr>
                <w:sz w:val="15"/>
              </w:rPr>
              <w:t>город</w:t>
            </w:r>
          </w:p>
        </w:tc>
        <w:tc>
          <w:tcPr>
            <w:tcW w:type="dxa" w:w="1225"/>
          </w:tcPr>
          <w:p>
            <w:pPr>
              <w:spacing w:after="0" w:line="240" w:lineRule="auto"/>
            </w:pPr>
            <w:r>
              <w:rPr>
                <w:sz w:val="15"/>
              </w:rPr>
              <w:t>8 336 817</w:t>
            </w:r>
          </w:p>
        </w:tc>
        <w:tc>
          <w:tcPr>
            <w:tcW w:type="dxa" w:w="980"/>
          </w:tcPr>
          <w:p>
            <w:pPr>
              <w:spacing w:after="0" w:line="240" w:lineRule="auto"/>
            </w:pPr>
            <w:r>
              <w:rPr>
                <w:sz w:val="15"/>
              </w:rPr>
              <w:t>[23]</w:t>
            </w:r>
          </w:p>
        </w:tc>
        <w:tc>
          <w:tcPr>
            <w:tcW w:type="dxa" w:w="2817"/>
          </w:tcPr>
          <w:p>
            <w:pPr>
              <w:spacing w:after="0" w:line="240" w:lineRule="auto"/>
            </w:pPr>
            <w:r>
              <w:rPr>
                <w:sz w:val="15"/>
              </w:rPr>
              <w:t>2020-02-29 — 2020-07-31</w:t>
            </w:r>
          </w:p>
        </w:tc>
        <w:tc>
          <w:tcPr>
            <w:tcW w:type="dxa" w:w="735"/>
          </w:tcPr>
          <w:p>
            <w:pPr>
              <w:spacing w:after="0" w:line="240" w:lineRule="auto"/>
            </w:pPr>
            <w:r>
              <w:rPr>
                <w:sz w:val="15"/>
              </w:rPr>
              <w:t>154</w:t>
            </w:r>
          </w:p>
        </w:tc>
      </w:tr>
      <w:tr>
        <w:tc>
          <w:tcPr>
            <w:tcW w:type="dxa" w:w="2817"/>
          </w:tcPr>
          <w:p>
            <w:pPr>
              <w:spacing w:after="0" w:line="240" w:lineRule="auto"/>
            </w:pPr>
            <w:r>
              <w:rPr>
                <w:sz w:val="15"/>
              </w:rPr>
              <w:t>Милан</w:t>
            </w:r>
          </w:p>
        </w:tc>
        <w:tc>
          <w:tcPr>
            <w:tcW w:type="dxa" w:w="735"/>
          </w:tcPr>
          <w:p>
            <w:pPr>
              <w:spacing w:after="0" w:line="240" w:lineRule="auto"/>
            </w:pPr>
            <w:r>
              <w:rPr>
                <w:sz w:val="15"/>
              </w:rPr>
              <w:t>Италия</w:t>
            </w:r>
          </w:p>
        </w:tc>
        <w:tc>
          <w:tcPr>
            <w:tcW w:type="dxa" w:w="1347"/>
          </w:tcPr>
          <w:p>
            <w:pPr>
              <w:spacing w:after="0" w:line="240" w:lineRule="auto"/>
            </w:pPr>
            <w:r>
              <w:rPr>
                <w:sz w:val="15"/>
              </w:rPr>
              <w:t>провинция</w:t>
            </w:r>
          </w:p>
        </w:tc>
        <w:tc>
          <w:tcPr>
            <w:tcW w:type="dxa" w:w="1225"/>
          </w:tcPr>
          <w:p>
            <w:pPr>
              <w:spacing w:after="0" w:line="240" w:lineRule="auto"/>
            </w:pPr>
            <w:r>
              <w:rPr>
                <w:sz w:val="15"/>
              </w:rPr>
              <w:t>3 259 000</w:t>
            </w:r>
          </w:p>
        </w:tc>
        <w:tc>
          <w:tcPr>
            <w:tcW w:type="dxa" w:w="980"/>
          </w:tcPr>
          <w:p>
            <w:pPr>
              <w:spacing w:after="0" w:line="240" w:lineRule="auto"/>
            </w:pPr>
            <w:r>
              <w:rPr>
                <w:sz w:val="15"/>
              </w:rPr>
              <w:t>[24]</w:t>
            </w:r>
          </w:p>
        </w:tc>
        <w:tc>
          <w:tcPr>
            <w:tcW w:type="dxa" w:w="2817"/>
          </w:tcPr>
          <w:p>
            <w:pPr>
              <w:spacing w:after="0" w:line="240" w:lineRule="auto"/>
            </w:pPr>
            <w:r>
              <w:rPr>
                <w:sz w:val="15"/>
              </w:rPr>
              <w:t>2020-02-25 — 2020-07-31</w:t>
            </w:r>
          </w:p>
        </w:tc>
        <w:tc>
          <w:tcPr>
            <w:tcW w:type="dxa" w:w="735"/>
          </w:tcPr>
          <w:p>
            <w:pPr>
              <w:spacing w:after="0" w:line="240" w:lineRule="auto"/>
            </w:pPr>
            <w:r>
              <w:rPr>
                <w:sz w:val="15"/>
              </w:rPr>
              <w:t>158</w:t>
            </w:r>
          </w:p>
        </w:tc>
      </w:tr>
      <w:tr>
        <w:tc>
          <w:tcPr>
            <w:tcW w:type="dxa" w:w="2817"/>
          </w:tcPr>
          <w:p>
            <w:pPr>
              <w:spacing w:after="0" w:line="240" w:lineRule="auto"/>
            </w:pPr>
            <w:r>
              <w:rPr>
                <w:sz w:val="15"/>
              </w:rPr>
              <w:t>Дели</w:t>
            </w:r>
          </w:p>
        </w:tc>
        <w:tc>
          <w:tcPr>
            <w:tcW w:type="dxa" w:w="735"/>
          </w:tcPr>
          <w:p>
            <w:pPr>
              <w:spacing w:after="0" w:line="240" w:lineRule="auto"/>
            </w:pPr>
            <w:r>
              <w:rPr>
                <w:sz w:val="15"/>
              </w:rPr>
              <w:t>Индия</w:t>
            </w:r>
          </w:p>
        </w:tc>
        <w:tc>
          <w:tcPr>
            <w:tcW w:type="dxa" w:w="1347"/>
          </w:tcPr>
          <w:p>
            <w:pPr>
              <w:spacing w:after="0" w:line="240" w:lineRule="auto"/>
            </w:pPr>
            <w:r>
              <w:rPr>
                <w:sz w:val="15"/>
              </w:rPr>
              <w:t>город</w:t>
            </w:r>
          </w:p>
        </w:tc>
        <w:tc>
          <w:tcPr>
            <w:tcW w:type="dxa" w:w="1225"/>
          </w:tcPr>
          <w:p>
            <w:pPr>
              <w:spacing w:after="0" w:line="240" w:lineRule="auto"/>
            </w:pPr>
            <w:r>
              <w:rPr>
                <w:sz w:val="15"/>
              </w:rPr>
              <w:t>19 800 000</w:t>
            </w:r>
          </w:p>
        </w:tc>
        <w:tc>
          <w:tcPr>
            <w:tcW w:type="dxa" w:w="980"/>
          </w:tcPr>
          <w:p>
            <w:pPr>
              <w:spacing w:after="0" w:line="240" w:lineRule="auto"/>
            </w:pPr>
            <w:r>
              <w:rPr>
                <w:sz w:val="15"/>
              </w:rPr>
              <w:t>[26]</w:t>
            </w:r>
          </w:p>
        </w:tc>
        <w:tc>
          <w:tcPr>
            <w:tcW w:type="dxa" w:w="2817"/>
          </w:tcPr>
          <w:p>
            <w:pPr>
              <w:spacing w:after="0" w:line="240" w:lineRule="auto"/>
            </w:pPr>
            <w:r>
              <w:rPr>
                <w:sz w:val="15"/>
              </w:rPr>
              <w:t>2021-03-01 — 2021-07-31</w:t>
            </w:r>
          </w:p>
        </w:tc>
        <w:tc>
          <w:tcPr>
            <w:tcW w:type="dxa" w:w="735"/>
          </w:tcPr>
          <w:p>
            <w:pPr>
              <w:spacing w:after="0" w:line="240" w:lineRule="auto"/>
            </w:pPr>
            <w:r>
              <w:rPr>
                <w:sz w:val="15"/>
              </w:rPr>
              <w:t>136</w:t>
            </w:r>
          </w:p>
        </w:tc>
      </w:tr>
    </w:tbl>
    <w:p/>
    <w:p>
      <w:pPr>
        <w:pStyle w:val="Heading2"/>
      </w:pPr>
      <w:r>
        <w:t>4. Классическая модель и оценка параметров</w:t>
      </w:r>
    </w:p>
    <w:p>
      <w:pPr>
        <w:jc w:val="both"/>
      </w:pPr>
      <w:r>
        <w:t>В качестве базовой используется модель SIR:</w:t>
      </w:r>
    </w:p>
    <w:p>
      <w:pPr>
        <w:jc w:val="center"/>
      </w:pPr>
      <w:r>
        <w:t>dS/dt = −βSI/A,  dI/dt = βSI/A − γI,  S(0) = A − I₀,  I(0) = I₀,  (3)</w:t>
      </w:r>
    </w:p>
    <w:p>
      <w:pPr>
        <w:jc w:val="both"/>
      </w:pPr>
      <w:r>
        <w:t>где S, I — численности восприимчивых и инфицированных, A — эффективная численность популяции, I₀ — число инфицированных в начальный момент окна. Наблюдаемая величина — накопленное число случаев C(t) = A − S(t).</w:t>
      </w:r>
    </w:p>
    <w:p>
      <w:pPr>
        <w:jc w:val="both"/>
      </w:pPr>
      <w:r>
        <w:t>Параметризация выбрана так, чтобы свободные параметры имели ясный эпидемиологический смысл и были сопоставимы между моделями:</w:t>
      </w:r>
    </w:p>
    <w:p>
      <w:pPr>
        <w:jc w:val="center"/>
      </w:pPr>
      <w:r>
        <w:t>λ — начальная скорость экспоненциального роста, сут</w:t>
      </w:r>
      <w:r>
        <w:rPr>
          <w:vertAlign w:val="superscript"/>
        </w:rPr>
        <w:t>−1</w:t>
      </w:r>
      <w:r>
        <w:t>;</w:t>
      </w:r>
    </w:p>
    <w:p>
      <w:pPr>
        <w:jc w:val="center"/>
      </w:pPr>
      <w:r>
        <w:t>τ — характерная длительность инфекционного периода, сут;</w:t>
      </w:r>
    </w:p>
    <w:p>
      <w:pPr>
        <w:jc w:val="center"/>
      </w:pPr>
      <w:r>
        <w:t>I₀ — начальное число инфицированных;</w:t>
      </w:r>
    </w:p>
    <w:p>
      <w:pPr>
        <w:jc w:val="center"/>
      </w:pPr>
      <w:r>
        <w:t>A — эффективная численность популяции.</w:t>
      </w:r>
    </w:p>
    <w:p>
      <w:pPr>
        <w:jc w:val="both"/>
      </w:pPr>
      <w:r>
        <w:t>Скорости инфекции и выбывания восстанавливаются как γ = τ</w:t>
      </w:r>
      <w:r>
        <w:rPr>
          <w:vertAlign w:val="superscript"/>
        </w:rPr>
        <w:t>−1</w:t>
      </w:r>
      <w:r>
        <w:t>, β = γ + λ, откуда R₀ = β/γ = 1 + λτ. Оценка выполнена методом наименьших квадратов по критерию</w:t>
      </w:r>
    </w:p>
    <w:p>
      <w:pPr>
        <w:jc w:val="center"/>
      </w:pPr>
      <w:r>
        <w:t>RSS(θ) = Σ</w:t>
      </w:r>
      <w:r>
        <w:rPr>
          <w:vertAlign w:val="subscript"/>
        </w:rPr>
        <w:t>j</w:t>
      </w:r>
      <w:r>
        <w:t xml:space="preserve"> (C</w:t>
      </w:r>
      <w:r>
        <w:rPr>
          <w:vertAlign w:val="subscript"/>
        </w:rPr>
        <w:t>мод</w:t>
      </w:r>
      <w:r>
        <w:t>(t</w:t>
      </w:r>
      <w:r>
        <w:rPr>
          <w:vertAlign w:val="subscript"/>
        </w:rPr>
        <w:t>j</w:t>
      </w:r>
      <w:r>
        <w:t>; θ) − C</w:t>
      </w:r>
      <w:r>
        <w:rPr>
          <w:vertAlign w:val="subscript"/>
        </w:rPr>
        <w:t>набл</w:t>
      </w:r>
      <w:r>
        <w:t>(t</w:t>
      </w:r>
      <w:r>
        <w:rPr>
          <w:vertAlign w:val="subscript"/>
        </w:rPr>
        <w:t>j</w:t>
      </w:r>
      <w:r>
        <w:t>))²,  (4)</w:t>
      </w:r>
    </w:p>
    <w:p>
      <w:pPr>
        <w:jc w:val="both"/>
      </w:pPr>
      <w:r>
        <w:t>минимизация — методом trust-region reflective [22] с ограничением параметров логистическим преобразованием внутрь допустимой области и с многократным стартом (20 стартовых точек, детерминированная сетка по λ и I₀); это необходимо из-за многомодальности критерия (4). Доверительные интервалы получены линеаризацией по матрице Якоби. Область допустимых значений: λ ∈ [0,02; 0,90] сут</w:t>
      </w:r>
      <w:r>
        <w:rPr>
          <w:vertAlign w:val="superscript"/>
        </w:rPr>
        <w:t>−1</w:t>
      </w:r>
      <w:r>
        <w:t>, τ = 7 сут (анализ чувствительности — в § 6), I₀ ∈ [0,5; 10⁵], A ∈ [C</w:t>
      </w:r>
      <w:r>
        <w:rPr>
          <w:vertAlign w:val="subscript"/>
        </w:rPr>
        <w:t>кон</w:t>
      </w:r>
      <w:r>
        <w:t>, min(10·C</w:t>
      </w:r>
      <w:r>
        <w:rPr>
          <w:vertAlign w:val="subscript"/>
        </w:rPr>
        <w:t>кон</w:t>
      </w:r>
      <w:r>
        <w:t>; 12·N</w:t>
      </w:r>
      <w:r>
        <w:rPr>
          <w:vertAlign w:val="subscript"/>
        </w:rPr>
        <w:t>нас</w:t>
      </w:r>
      <w:r>
        <w:t>)], где C</w:t>
      </w:r>
      <w:r>
        <w:rPr>
          <w:vertAlign w:val="subscript"/>
        </w:rPr>
        <w:t>кон</w:t>
      </w:r>
      <w:r>
        <w:t xml:space="preserve"> — наблюдённое число случаев к концу окна; нижняя граница A отвечает коэффициенту регистрации не выше 100 %, верхняя — не ниже 10 %.</w:t>
      </w:r>
    </w:p>
    <w:p>
      <w:pPr>
        <w:jc w:val="both"/>
      </w:pPr>
      <w:r>
        <w:t>Качество подгонки классической модели для Москвы показано на рис. 2. Модель удовлетворительно описывает подъём, но систематически отклоняется на спаде: невязка меняет знак и достигает 10⁴ случаев, что для волны с амплитудой 2,5·10⁵ составляет несколько процентов. Причина состоит в том, что для поворота кривой при наблюдаемом уровне накопленной заболеваемости классическая модель вынуждена выбирать малое R₀ (1,42–1,66 для всех территорий, табл. 2), а это плохо согласуется с наблюдаемой начальной скоростью роста λ ≈ 0,06–0,21 сут</w:t>
      </w:r>
      <w:r>
        <w:rPr>
          <w:vertAlign w:val="superscript"/>
        </w:rPr>
        <w:t>−1</w:t>
      </w:r>
      <w:r>
        <w:t>.</w:t>
      </w:r>
    </w:p>
    <w:p>
      <w:pPr>
        <w:pStyle w:val="Heading2"/>
      </w:pPr>
      <w:r>
        <w:t>5. Дробная модель и идентификация параметров</w:t>
      </w:r>
    </w:p>
    <w:p>
      <w:pPr>
        <w:jc w:val="both"/>
      </w:pPr>
      <w:r>
        <w:t>Дробный аналог системы (3) получается заменой обычных производных на производные Капуто:</w:t>
      </w:r>
    </w:p>
    <w:p>
      <w:pPr>
        <w:jc w:val="center"/>
      </w:pPr>
      <w:r>
        <w:t>ᴰ</w:t>
      </w:r>
      <w:r>
        <w:rPr>
          <w:vertAlign w:val="subscript"/>
        </w:rPr>
        <w:t>C</w:t>
      </w:r>
      <w:r>
        <w:rPr>
          <w:vertAlign w:val="superscript"/>
        </w:rPr>
        <w:t>α</w:t>
      </w:r>
      <w:r>
        <w:t>S = −βSI/A,  ᴰ</w:t>
      </w:r>
      <w:r>
        <w:rPr>
          <w:vertAlign w:val="subscript"/>
        </w:rPr>
        <w:t>C</w:t>
      </w:r>
      <w:r>
        <w:rPr>
          <w:vertAlign w:val="superscript"/>
        </w:rPr>
        <w:t>α</w:t>
      </w:r>
      <w:r>
        <w:t>I = βSI/A − γI,  (5)</w:t>
      </w:r>
    </w:p>
    <w:p>
      <w:pPr>
        <w:jc w:val="both"/>
      </w:pPr>
      <w:r>
        <w:t>с теми же начальными условиями. При α = 1 система (5) переходит в (3), что обеспечивает корректность сравнения.</w:t>
      </w:r>
    </w:p>
    <w:p>
      <w:pPr>
        <w:jc w:val="both"/>
      </w:pPr>
      <w:r>
        <w:rPr>
          <w:b/>
        </w:rPr>
        <w:t>Параметризация.</w:t>
      </w:r>
      <w:r>
        <w:t xml:space="preserve"> В дробной модели величины β и γ имеют размерность сут</w:t>
      </w:r>
      <w:r>
        <w:rPr>
          <w:vertAlign w:val="superscript"/>
        </w:rPr>
        <w:t>−α</w:t>
      </w:r>
      <w:r>
        <w:t xml:space="preserve"> и потому напрямую несопоставимы ни между собой, ни с классической моделью. Поэтому система (5) параметризуется теми же величинами λ и τ:</w:t>
      </w:r>
    </w:p>
    <w:p>
      <w:pPr>
        <w:jc w:val="center"/>
      </w:pPr>
      <w:r>
        <w:t>γ = τ</w:t>
      </w:r>
      <w:r>
        <w:rPr>
          <w:vertAlign w:val="superscript"/>
        </w:rPr>
        <w:t>−α</w:t>
      </w:r>
      <w:r>
        <w:t>,  β = γ + λ</w:t>
      </w:r>
      <w:r>
        <w:rPr>
          <w:vertAlign w:val="superscript"/>
        </w:rPr>
        <w:t>α</w:t>
      </w:r>
      <w:r>
        <w:t>,  откуда  R₀ = β/γ = 1 + (λτ)</w:t>
      </w:r>
      <w:r>
        <w:rPr>
          <w:vertAlign w:val="superscript"/>
        </w:rPr>
        <w:t>α</w:t>
      </w:r>
      <w:r>
        <w:t>.  (6)</w:t>
      </w:r>
    </w:p>
    <w:p>
      <w:pPr>
        <w:jc w:val="both"/>
      </w:pPr>
      <w:r>
        <w:t>Соотношение (6) при α = 1 совпадает с классическим R₀ = 1 + λτ, а при α &lt; 1 показывает, что то же самое значение R₀ достигается при меньшей начальной скорости роста. Такая параметризация снимает вырожденность задачи: в исходных переменных (β, γ) целевая функция имеет протяжённую овражную область, в которой β и γ меняются на порядки при почти неизменной невязке.</w:t>
      </w:r>
    </w:p>
    <w:p>
      <w:pPr>
        <w:jc w:val="both"/>
      </w:pPr>
      <w:r>
        <w:rPr>
          <w:b/>
        </w:rPr>
        <w:t>Численная схема.</w:t>
      </w:r>
      <w:r>
        <w:t xml:space="preserve"> Для дискретизации производной Капуто применена схема L1 [7–9]. На равномерной сетке t</w:t>
      </w:r>
      <w:r>
        <w:rPr>
          <w:vertAlign w:val="subscript"/>
        </w:rPr>
        <w:t>n</w:t>
      </w:r>
      <w:r>
        <w:t xml:space="preserve"> = nΔt:</w:t>
      </w:r>
    </w:p>
    <w:p>
      <w:pPr>
        <w:jc w:val="center"/>
      </w:pPr>
      <w:r>
        <w:t>ᴰ</w:t>
      </w:r>
      <w:r>
        <w:rPr>
          <w:vertAlign w:val="subscript"/>
        </w:rPr>
        <w:t>C</w:t>
      </w:r>
      <w:r>
        <w:rPr>
          <w:vertAlign w:val="superscript"/>
        </w:rPr>
        <w:t>α</w:t>
      </w:r>
      <w:r>
        <w:t>y(t</w:t>
      </w:r>
      <w:r>
        <w:rPr>
          <w:vertAlign w:val="subscript"/>
        </w:rPr>
        <w:t>n</w:t>
      </w:r>
      <w:r>
        <w:t>) ≈ (Δt</w:t>
      </w:r>
      <w:r>
        <w:rPr>
          <w:vertAlign w:val="superscript"/>
        </w:rPr>
        <w:t>−α</w:t>
      </w:r>
      <w:r>
        <w:t>/Γ(2−α)) Σ</w:t>
      </w:r>
      <w:r>
        <w:rPr>
          <w:vertAlign w:val="subscript"/>
        </w:rPr>
        <w:t>k=0</w:t>
      </w:r>
      <w:r>
        <w:rPr>
          <w:vertAlign w:val="superscript"/>
        </w:rPr>
        <w:t>n−1</w:t>
      </w:r>
      <w:r>
        <w:t xml:space="preserve"> b</w:t>
      </w:r>
      <w:r>
        <w:rPr>
          <w:vertAlign w:val="subscript"/>
        </w:rPr>
        <w:t>k</w:t>
      </w:r>
      <w:r>
        <w:t xml:space="preserve"> (y</w:t>
      </w:r>
      <w:r>
        <w:rPr>
          <w:vertAlign w:val="subscript"/>
        </w:rPr>
        <w:t>n−k</w:t>
      </w:r>
      <w:r>
        <w:t xml:space="preserve"> − y</w:t>
      </w:r>
      <w:r>
        <w:rPr>
          <w:vertAlign w:val="subscript"/>
        </w:rPr>
        <w:t>n−k−1</w:t>
      </w:r>
      <w:r>
        <w:t>),</w:t>
      </w:r>
    </w:p>
    <w:p>
      <w:pPr>
        <w:jc w:val="center"/>
      </w:pPr>
      <w:r>
        <w:t>b</w:t>
      </w:r>
      <w:r>
        <w:rPr>
          <w:vertAlign w:val="subscript"/>
        </w:rPr>
        <w:t>k</w:t>
      </w:r>
      <w:r>
        <w:t xml:space="preserve"> = (k+1)</w:t>
      </w:r>
      <w:r>
        <w:rPr>
          <w:vertAlign w:val="superscript"/>
        </w:rPr>
        <w:t>1−α</w:t>
      </w:r>
      <w:r>
        <w:t xml:space="preserve"> − k</w:t>
      </w:r>
      <w:r>
        <w:rPr>
          <w:vertAlign w:val="superscript"/>
        </w:rPr>
        <w:t>1−α</w:t>
      </w:r>
      <w:r>
        <w:t>,  b₀ = 1.  (7)</w:t>
      </w:r>
    </w:p>
    <w:p>
      <w:pPr>
        <w:jc w:val="both"/>
      </w:pPr>
      <w:r>
        <w:t>Явная схема на основе (7) имеет вид</w:t>
      </w:r>
    </w:p>
    <w:p>
      <w:pPr>
        <w:jc w:val="center"/>
      </w:pPr>
      <w:r>
        <w:t>y</w:t>
      </w:r>
      <w:r>
        <w:rPr>
          <w:vertAlign w:val="subscript"/>
        </w:rPr>
        <w:t>n</w:t>
      </w:r>
      <w:r>
        <w:t xml:space="preserve"> = y</w:t>
      </w:r>
      <w:r>
        <w:rPr>
          <w:vertAlign w:val="subscript"/>
        </w:rPr>
        <w:t>n−1</w:t>
      </w:r>
      <w:r>
        <w:t xml:space="preserve"> + Γ(2−α)Δt</w:t>
      </w:r>
      <w:r>
        <w:rPr>
          <w:vertAlign w:val="superscript"/>
        </w:rPr>
        <w:t>α</w:t>
      </w:r>
      <w:r>
        <w:t xml:space="preserve"> f(y</w:t>
      </w:r>
      <w:r>
        <w:rPr>
          <w:vertAlign w:val="subscript"/>
        </w:rPr>
        <w:t>n−1</w:t>
      </w:r>
      <w:r>
        <w:t>) − Σ</w:t>
      </w:r>
      <w:r>
        <w:rPr>
          <w:vertAlign w:val="subscript"/>
        </w:rPr>
        <w:t>k=1</w:t>
      </w:r>
      <w:r>
        <w:rPr>
          <w:vertAlign w:val="superscript"/>
        </w:rPr>
        <w:t>n−1</w:t>
      </w:r>
      <w:r>
        <w:t xml:space="preserve"> b</w:t>
      </w:r>
      <w:r>
        <w:rPr>
          <w:vertAlign w:val="subscript"/>
        </w:rPr>
        <w:t>k</w:t>
      </w:r>
      <w:r>
        <w:t>(y</w:t>
      </w:r>
      <w:r>
        <w:rPr>
          <w:vertAlign w:val="subscript"/>
        </w:rPr>
        <w:t>n−k</w:t>
      </w:r>
      <w:r>
        <w:t xml:space="preserve"> − y</w:t>
      </w:r>
      <w:r>
        <w:rPr>
          <w:vertAlign w:val="subscript"/>
        </w:rPr>
        <w:t>n−k−1</w:t>
      </w:r>
      <w:r>
        <w:t>).  (8)</w:t>
      </w:r>
    </w:p>
    <w:p>
      <w:pPr>
        <w:jc w:val="both"/>
      </w:pPr>
      <w:r>
        <w:t>Шаг принят равным Δt = 0,1 сут, что обеспечивает устойчивость при рассматриваемых значениях параметров. Вычислительная стоимость одного прохода составляет O(n²) из-за суммы истории; при n ≤ 1,6·10³ это приемлемо, а сумма вычисляется как скалярное произведение с массивом приращений.</w:t>
      </w:r>
    </w:p>
    <w:p>
      <w:pPr>
        <w:jc w:val="both"/>
      </w:pPr>
      <w:r>
        <w:rPr>
          <w:b/>
        </w:rPr>
        <w:t>Верификация схемы.</w:t>
      </w:r>
      <w:r>
        <w:t xml:space="preserve"> Схема (8) проверена на задаче ᴰ</w:t>
      </w:r>
      <w:r>
        <w:rPr>
          <w:vertAlign w:val="subscript"/>
        </w:rPr>
        <w:t>C</w:t>
      </w:r>
      <w:r>
        <w:rPr>
          <w:vertAlign w:val="superscript"/>
        </w:rPr>
        <w:t>α</w:t>
      </w:r>
      <w:r>
        <w:t>y = −λy, y(0) = 1, имеющей точное решение (2). При α = 1/2, λ = 1, t = 1 точное значение E</w:t>
      </w:r>
      <w:r>
        <w:rPr>
          <w:vertAlign w:val="subscript"/>
        </w:rPr>
        <w:t>1/2</w:t>
      </w:r>
      <w:r>
        <w:t>(−1) = e·erfc(1) = 0,4275835762; схема даёт 0,4267453 (n = 100), 0,4274983 (n = 1000) и 0,4275750 (n = 10 000), то есть ошибка убывает как O(Δt) с наблюдаемым порядком 0,99–1,00. Дополнительно проведено сравнение при t = 5, α = 0,5 с разложением (2) в ряд: расхождение 5,6·10</w:t>
      </w:r>
      <w:r>
        <w:rPr>
          <w:vertAlign w:val="superscript"/>
        </w:rPr>
        <w:t>−6</w:t>
      </w:r>
      <w:r>
        <w:t>. Отметим, что классическая оценка порядка точности схемы L1 — O(Δt</w:t>
      </w:r>
      <w:r>
        <w:rPr>
          <w:vertAlign w:val="superscript"/>
        </w:rPr>
        <w:t>2−α</w:t>
      </w:r>
      <w:r>
        <w:t>) — относится к аппроксимации самого оператора (7); наблюдаемый глобальный порядок оказывается близким к единице из-за слабой особенности решения при t = 0. Независимая реализация на Julia (только стандартная библиотека) воспроизводит те же числа с относительным расхождением ~10</w:t>
      </w:r>
      <w:r>
        <w:rPr>
          <w:vertAlign w:val="superscript"/>
        </w:rPr>
        <w:t>−12</w:t>
      </w:r>
      <w:r>
        <w:t>.</w:t>
      </w:r>
    </w:p>
    <w:p>
      <w:pPr>
        <w:jc w:val="both"/>
      </w:pPr>
      <w:r>
        <w:rPr>
          <w:b/>
        </w:rPr>
        <w:t>Роль α.</w:t>
      </w:r>
      <w:r>
        <w:t xml:space="preserve"> На рис. 1 показано семейство решений системы (5) при фиксированных λ, τ, A и I₀ и разных α. При уменьшении α кривая теряет симметрию: подъём ускоряется, а спад затягивается, что и наблюдается в реальных данных.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295584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2_alpha_sensitivity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29558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1. Роль порядка α при фиксированных λ, τ, A, I₀</w:t>
      </w:r>
    </w:p>
    <w:p>
      <w:pPr>
        <w:pStyle w:val="Heading2"/>
      </w:pPr>
      <w:r>
        <w:t>6. Результаты и сравнение</w:t>
      </w:r>
    </w:p>
    <w:p>
      <w:pPr>
        <w:jc w:val="both"/>
      </w:pPr>
      <w:r>
        <w:rPr>
          <w:b/>
        </w:rPr>
        <w:t>Точность описания.</w:t>
      </w:r>
      <w:r>
        <w:t xml:space="preserve"> Оценки параметров для обеих моделей по всем семи территориям приведены в табл. 2. Дробная модель улучшает описание на всех территориях, однако статистическая значимость улучшения существенно различается.</w:t>
      </w:r>
    </w:p>
    <w:p>
      <w:pPr>
        <w:jc w:val="both"/>
      </w:pPr>
      <w:r>
        <w:rPr>
          <w:b/>
        </w:rPr>
        <w:t>Таблица 2. Оценки параметров классической и дробной SIR-моделей</w:t>
      </w:r>
      <w:r>
        <w:t xml:space="preserve"> (τ = 7 сут)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2175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Территория</w:t>
            </w:r>
          </w:p>
        </w:tc>
        <w:tc>
          <w:tcPr>
            <w:tcW w:type="dxa" w:w="1305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Модель</w:t>
            </w:r>
          </w:p>
        </w:tc>
        <w:tc>
          <w:tcPr>
            <w:tcW w:type="dxa" w:w="2066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α (95 % ДИ)</w:t>
            </w:r>
          </w:p>
        </w:tc>
        <w:tc>
          <w:tcPr>
            <w:tcW w:type="dxa" w:w="870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λ, сут⁻¹</w:t>
            </w:r>
          </w:p>
        </w:tc>
        <w:tc>
          <w:tcPr>
            <w:tcW w:type="dxa" w:w="544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R₀</w:t>
            </w:r>
          </w:p>
        </w:tc>
        <w:tc>
          <w:tcPr>
            <w:tcW w:type="dxa" w:w="761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A</w:t>
            </w:r>
          </w:p>
        </w:tc>
        <w:tc>
          <w:tcPr>
            <w:tcW w:type="dxa" w:w="870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RMSE</w:t>
            </w:r>
          </w:p>
        </w:tc>
        <w:tc>
          <w:tcPr>
            <w:tcW w:type="dxa" w:w="652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R²</w:t>
            </w:r>
          </w:p>
        </w:tc>
        <w:tc>
          <w:tcPr>
            <w:tcW w:type="dxa" w:w="761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AIC</w:t>
            </w:r>
          </w:p>
        </w:tc>
        <w:tc>
          <w:tcPr>
            <w:tcW w:type="dxa" w:w="652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ΔAIC</w:t>
            </w:r>
          </w:p>
        </w:tc>
      </w:tr>
      <w:tr>
        <w:tc>
          <w:tcPr>
            <w:tcW w:type="dxa" w:w="2175"/>
          </w:tcPr>
          <w:p>
            <w:pPr>
              <w:spacing w:after="0" w:line="240" w:lineRule="auto"/>
            </w:pPr>
            <w:r>
              <w:rPr>
                <w:sz w:val="15"/>
              </w:rPr>
              <w:t>Москва</w:t>
            </w:r>
          </w:p>
        </w:tc>
        <w:tc>
          <w:tcPr>
            <w:tcW w:type="dxa" w:w="1305"/>
          </w:tcPr>
          <w:p>
            <w:pPr>
              <w:spacing w:after="0" w:line="240" w:lineRule="auto"/>
            </w:pPr>
            <w:r>
              <w:rPr>
                <w:sz w:val="15"/>
              </w:rPr>
              <w:t>классическая</w:t>
            </w:r>
          </w:p>
        </w:tc>
        <w:tc>
          <w:tcPr>
            <w:tcW w:type="dxa" w:w="2066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870"/>
          </w:tcPr>
          <w:p>
            <w:pPr>
              <w:spacing w:after="0" w:line="240" w:lineRule="auto"/>
            </w:pPr>
            <w:r>
              <w:rPr>
                <w:sz w:val="15"/>
              </w:rPr>
              <w:t>0,081</w:t>
            </w:r>
          </w:p>
        </w:tc>
        <w:tc>
          <w:tcPr>
            <w:tcW w:type="dxa" w:w="544"/>
          </w:tcPr>
          <w:p>
            <w:pPr>
              <w:spacing w:after="0" w:line="240" w:lineRule="auto"/>
            </w:pPr>
            <w:r>
              <w:rPr>
                <w:sz w:val="15"/>
              </w:rPr>
              <w:t>1,565</w:t>
            </w:r>
          </w:p>
        </w:tc>
        <w:tc>
          <w:tcPr>
            <w:tcW w:type="dxa" w:w="761"/>
          </w:tcPr>
          <w:p>
            <w:pPr>
              <w:spacing w:after="0" w:line="240" w:lineRule="auto"/>
            </w:pPr>
            <w:r>
              <w:rPr>
                <w:sz w:val="15"/>
              </w:rPr>
              <w:t>377 900</w:t>
            </w:r>
          </w:p>
        </w:tc>
        <w:tc>
          <w:tcPr>
            <w:tcW w:type="dxa" w:w="870"/>
          </w:tcPr>
          <w:p>
            <w:pPr>
              <w:spacing w:after="0" w:line="240" w:lineRule="auto"/>
            </w:pPr>
            <w:r>
              <w:rPr>
                <w:sz w:val="15"/>
              </w:rPr>
              <w:t>6 135,6</w:t>
            </w:r>
          </w:p>
        </w:tc>
        <w:tc>
          <w:tcPr>
            <w:tcW w:type="dxa" w:w="652"/>
          </w:tcPr>
          <w:p>
            <w:pPr>
              <w:spacing w:after="0" w:line="240" w:lineRule="auto"/>
            </w:pPr>
            <w:r>
              <w:rPr>
                <w:sz w:val="15"/>
              </w:rPr>
              <w:t>0,9953</w:t>
            </w:r>
          </w:p>
        </w:tc>
        <w:tc>
          <w:tcPr>
            <w:tcW w:type="dxa" w:w="761"/>
          </w:tcPr>
          <w:p>
            <w:pPr>
              <w:spacing w:after="0" w:line="240" w:lineRule="auto"/>
            </w:pPr>
            <w:r>
              <w:rPr>
                <w:sz w:val="15"/>
              </w:rPr>
              <w:t>2 500,5</w:t>
            </w:r>
          </w:p>
        </w:tc>
        <w:tc>
          <w:tcPr>
            <w:tcW w:type="dxa" w:w="652"/>
          </w:tcPr>
          <w:p>
            <w:pPr>
              <w:spacing w:after="0" w:line="240" w:lineRule="auto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175"/>
          </w:tcPr>
          <w:p>
            <w:pPr>
              <w:spacing w:after="0" w:line="240" w:lineRule="auto"/>
            </w:pPr>
            <w:r>
              <w:rPr>
                <w:sz w:val="15"/>
              </w:rPr>
              <w:t>Москва</w:t>
            </w:r>
          </w:p>
        </w:tc>
        <w:tc>
          <w:tcPr>
            <w:tcW w:type="dxa" w:w="1305"/>
          </w:tcPr>
          <w:p>
            <w:pPr>
              <w:spacing w:after="0" w:line="240" w:lineRule="auto"/>
            </w:pPr>
            <w:r>
              <w:rPr>
                <w:sz w:val="15"/>
              </w:rPr>
              <w:t>дробная</w:t>
            </w:r>
          </w:p>
        </w:tc>
        <w:tc>
          <w:tcPr>
            <w:tcW w:type="dxa" w:w="2066"/>
          </w:tcPr>
          <w:p>
            <w:pPr>
              <w:spacing w:after="0" w:line="240" w:lineRule="auto"/>
            </w:pPr>
            <w:r>
              <w:rPr>
                <w:sz w:val="15"/>
              </w:rPr>
              <w:t>0,413 (0,389–0,438)</w:t>
            </w:r>
          </w:p>
        </w:tc>
        <w:tc>
          <w:tcPr>
            <w:tcW w:type="dxa" w:w="870"/>
          </w:tcPr>
          <w:p>
            <w:pPr>
              <w:spacing w:after="0" w:line="240" w:lineRule="auto"/>
            </w:pPr>
            <w:r>
              <w:rPr>
                <w:sz w:val="15"/>
              </w:rPr>
              <w:t>0,143</w:t>
            </w:r>
          </w:p>
        </w:tc>
        <w:tc>
          <w:tcPr>
            <w:tcW w:type="dxa" w:w="544"/>
          </w:tcPr>
          <w:p>
            <w:pPr>
              <w:spacing w:after="0" w:line="240" w:lineRule="auto"/>
            </w:pPr>
            <w:r>
              <w:rPr>
                <w:sz w:val="15"/>
              </w:rPr>
              <w:t>2,001</w:t>
            </w:r>
          </w:p>
        </w:tc>
        <w:tc>
          <w:tcPr>
            <w:tcW w:type="dxa" w:w="761"/>
          </w:tcPr>
          <w:p>
            <w:pPr>
              <w:spacing w:after="0" w:line="240" w:lineRule="auto"/>
            </w:pPr>
            <w:r>
              <w:rPr>
                <w:sz w:val="15"/>
              </w:rPr>
              <w:t>597 404</w:t>
            </w:r>
          </w:p>
        </w:tc>
        <w:tc>
          <w:tcPr>
            <w:tcW w:type="dxa" w:w="870"/>
          </w:tcPr>
          <w:p>
            <w:pPr>
              <w:spacing w:after="0" w:line="240" w:lineRule="auto"/>
            </w:pPr>
            <w:r>
              <w:rPr>
                <w:sz w:val="15"/>
              </w:rPr>
              <w:t>2 200,7</w:t>
            </w:r>
          </w:p>
        </w:tc>
        <w:tc>
          <w:tcPr>
            <w:tcW w:type="dxa" w:w="652"/>
          </w:tcPr>
          <w:p>
            <w:pPr>
              <w:spacing w:after="0" w:line="240" w:lineRule="auto"/>
            </w:pPr>
            <w:r>
              <w:rPr>
                <w:sz w:val="15"/>
              </w:rPr>
              <w:t>0,9994</w:t>
            </w:r>
          </w:p>
        </w:tc>
        <w:tc>
          <w:tcPr>
            <w:tcW w:type="dxa" w:w="761"/>
          </w:tcPr>
          <w:p>
            <w:pPr>
              <w:spacing w:after="0" w:line="240" w:lineRule="auto"/>
            </w:pPr>
            <w:r>
              <w:rPr>
                <w:sz w:val="15"/>
              </w:rPr>
              <w:t>2 209,2</w:t>
            </w:r>
          </w:p>
        </w:tc>
        <w:tc>
          <w:tcPr>
            <w:tcW w:type="dxa" w:w="652"/>
          </w:tcPr>
          <w:p>
            <w:pPr>
              <w:spacing w:after="0" w:line="240" w:lineRule="auto"/>
            </w:pPr>
            <w:r>
              <w:rPr>
                <w:sz w:val="15"/>
              </w:rPr>
              <w:t>+291,3</w:t>
            </w:r>
          </w:p>
        </w:tc>
      </w:tr>
      <w:tr>
        <w:tc>
          <w:tcPr>
            <w:tcW w:type="dxa" w:w="2175"/>
          </w:tcPr>
          <w:p>
            <w:pPr>
              <w:spacing w:after="0" w:line="240" w:lineRule="auto"/>
            </w:pPr>
            <w:r>
              <w:rPr>
                <w:sz w:val="15"/>
              </w:rPr>
              <w:t>Псковская обл.</w:t>
            </w:r>
          </w:p>
        </w:tc>
        <w:tc>
          <w:tcPr>
            <w:tcW w:type="dxa" w:w="1305"/>
          </w:tcPr>
          <w:p>
            <w:pPr>
              <w:spacing w:after="0" w:line="240" w:lineRule="auto"/>
            </w:pPr>
            <w:r>
              <w:rPr>
                <w:sz w:val="15"/>
              </w:rPr>
              <w:t>классическая</w:t>
            </w:r>
          </w:p>
        </w:tc>
        <w:tc>
          <w:tcPr>
            <w:tcW w:type="dxa" w:w="2066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870"/>
          </w:tcPr>
          <w:p>
            <w:pPr>
              <w:spacing w:after="0" w:line="240" w:lineRule="auto"/>
            </w:pPr>
            <w:r>
              <w:rPr>
                <w:sz w:val="15"/>
              </w:rPr>
              <w:t>0,072</w:t>
            </w:r>
          </w:p>
        </w:tc>
        <w:tc>
          <w:tcPr>
            <w:tcW w:type="dxa" w:w="544"/>
          </w:tcPr>
          <w:p>
            <w:pPr>
              <w:spacing w:after="0" w:line="240" w:lineRule="auto"/>
            </w:pPr>
            <w:r>
              <w:rPr>
                <w:sz w:val="15"/>
              </w:rPr>
              <w:t>1,506</w:t>
            </w:r>
          </w:p>
        </w:tc>
        <w:tc>
          <w:tcPr>
            <w:tcW w:type="dxa" w:w="761"/>
          </w:tcPr>
          <w:p>
            <w:pPr>
              <w:spacing w:after="0" w:line="240" w:lineRule="auto"/>
            </w:pPr>
            <w:r>
              <w:rPr>
                <w:sz w:val="15"/>
              </w:rPr>
              <w:t>6 879</w:t>
            </w:r>
          </w:p>
        </w:tc>
        <w:tc>
          <w:tcPr>
            <w:tcW w:type="dxa" w:w="870"/>
          </w:tcPr>
          <w:p>
            <w:pPr>
              <w:spacing w:after="0" w:line="240" w:lineRule="auto"/>
            </w:pPr>
            <w:r>
              <w:rPr>
                <w:sz w:val="15"/>
              </w:rPr>
              <w:t>60,2</w:t>
            </w:r>
          </w:p>
        </w:tc>
        <w:tc>
          <w:tcPr>
            <w:tcW w:type="dxa" w:w="652"/>
          </w:tcPr>
          <w:p>
            <w:pPr>
              <w:spacing w:after="0" w:line="240" w:lineRule="auto"/>
            </w:pPr>
            <w:r>
              <w:rPr>
                <w:sz w:val="15"/>
              </w:rPr>
              <w:t>0,9984</w:t>
            </w:r>
          </w:p>
        </w:tc>
        <w:tc>
          <w:tcPr>
            <w:tcW w:type="dxa" w:w="761"/>
          </w:tcPr>
          <w:p>
            <w:pPr>
              <w:spacing w:after="0" w:line="240" w:lineRule="auto"/>
            </w:pPr>
            <w:r>
              <w:rPr>
                <w:sz w:val="15"/>
              </w:rPr>
              <w:t>1 177,7</w:t>
            </w:r>
          </w:p>
        </w:tc>
        <w:tc>
          <w:tcPr>
            <w:tcW w:type="dxa" w:w="652"/>
          </w:tcPr>
          <w:p>
            <w:pPr>
              <w:spacing w:after="0" w:line="240" w:lineRule="auto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175"/>
          </w:tcPr>
          <w:p>
            <w:pPr>
              <w:spacing w:after="0" w:line="240" w:lineRule="auto"/>
            </w:pPr>
            <w:r>
              <w:rPr>
                <w:sz w:val="15"/>
              </w:rPr>
              <w:t>Псковская обл.</w:t>
            </w:r>
          </w:p>
        </w:tc>
        <w:tc>
          <w:tcPr>
            <w:tcW w:type="dxa" w:w="1305"/>
          </w:tcPr>
          <w:p>
            <w:pPr>
              <w:spacing w:after="0" w:line="240" w:lineRule="auto"/>
            </w:pPr>
            <w:r>
              <w:rPr>
                <w:sz w:val="15"/>
              </w:rPr>
              <w:t>дробная</w:t>
            </w:r>
          </w:p>
        </w:tc>
        <w:tc>
          <w:tcPr>
            <w:tcW w:type="dxa" w:w="2066"/>
          </w:tcPr>
          <w:p>
            <w:pPr>
              <w:spacing w:after="0" w:line="240" w:lineRule="auto"/>
            </w:pPr>
            <w:r>
              <w:rPr>
                <w:sz w:val="15"/>
              </w:rPr>
              <w:t>0,618 (0,522–0,713)</w:t>
            </w:r>
          </w:p>
        </w:tc>
        <w:tc>
          <w:tcPr>
            <w:tcW w:type="dxa" w:w="870"/>
          </w:tcPr>
          <w:p>
            <w:pPr>
              <w:spacing w:after="0" w:line="240" w:lineRule="auto"/>
            </w:pPr>
            <w:r>
              <w:rPr>
                <w:sz w:val="15"/>
              </w:rPr>
              <w:t>0,084</w:t>
            </w:r>
          </w:p>
        </w:tc>
        <w:tc>
          <w:tcPr>
            <w:tcW w:type="dxa" w:w="544"/>
          </w:tcPr>
          <w:p>
            <w:pPr>
              <w:spacing w:after="0" w:line="240" w:lineRule="auto"/>
            </w:pPr>
            <w:r>
              <w:rPr>
                <w:sz w:val="15"/>
              </w:rPr>
              <w:t>1,718</w:t>
            </w:r>
          </w:p>
        </w:tc>
        <w:tc>
          <w:tcPr>
            <w:tcW w:type="dxa" w:w="761"/>
          </w:tcPr>
          <w:p>
            <w:pPr>
              <w:spacing w:after="0" w:line="240" w:lineRule="auto"/>
            </w:pPr>
            <w:r>
              <w:rPr>
                <w:sz w:val="15"/>
              </w:rPr>
              <w:t>9 682</w:t>
            </w:r>
          </w:p>
        </w:tc>
        <w:tc>
          <w:tcPr>
            <w:tcW w:type="dxa" w:w="870"/>
          </w:tcPr>
          <w:p>
            <w:pPr>
              <w:spacing w:after="0" w:line="240" w:lineRule="auto"/>
            </w:pPr>
            <w:r>
              <w:rPr>
                <w:sz w:val="15"/>
              </w:rPr>
              <w:t>54,9</w:t>
            </w:r>
          </w:p>
        </w:tc>
        <w:tc>
          <w:tcPr>
            <w:tcW w:type="dxa" w:w="652"/>
          </w:tcPr>
          <w:p>
            <w:pPr>
              <w:spacing w:after="0" w:line="240" w:lineRule="auto"/>
            </w:pPr>
            <w:r>
              <w:rPr>
                <w:sz w:val="15"/>
              </w:rPr>
              <w:t>0,9986</w:t>
            </w:r>
          </w:p>
        </w:tc>
        <w:tc>
          <w:tcPr>
            <w:tcW w:type="dxa" w:w="761"/>
          </w:tcPr>
          <w:p>
            <w:pPr>
              <w:spacing w:after="0" w:line="240" w:lineRule="auto"/>
            </w:pPr>
            <w:r>
              <w:rPr>
                <w:sz w:val="15"/>
              </w:rPr>
              <w:t>1 153,8</w:t>
            </w:r>
          </w:p>
        </w:tc>
        <w:tc>
          <w:tcPr>
            <w:tcW w:type="dxa" w:w="652"/>
          </w:tcPr>
          <w:p>
            <w:pPr>
              <w:spacing w:after="0" w:line="240" w:lineRule="auto"/>
            </w:pPr>
            <w:r>
              <w:rPr>
                <w:sz w:val="15"/>
              </w:rPr>
              <w:t>+23,9</w:t>
            </w:r>
          </w:p>
        </w:tc>
      </w:tr>
      <w:tr>
        <w:tc>
          <w:tcPr>
            <w:tcW w:type="dxa" w:w="2175"/>
          </w:tcPr>
          <w:p>
            <w:pPr>
              <w:spacing w:after="0" w:line="240" w:lineRule="auto"/>
            </w:pPr>
            <w:r>
              <w:rPr>
                <w:sz w:val="15"/>
              </w:rPr>
              <w:t>Калининградская обл.</w:t>
            </w:r>
          </w:p>
        </w:tc>
        <w:tc>
          <w:tcPr>
            <w:tcW w:type="dxa" w:w="1305"/>
          </w:tcPr>
          <w:p>
            <w:pPr>
              <w:spacing w:after="0" w:line="240" w:lineRule="auto"/>
            </w:pPr>
            <w:r>
              <w:rPr>
                <w:sz w:val="15"/>
              </w:rPr>
              <w:t>классическая</w:t>
            </w:r>
          </w:p>
        </w:tc>
        <w:tc>
          <w:tcPr>
            <w:tcW w:type="dxa" w:w="2066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870"/>
          </w:tcPr>
          <w:p>
            <w:pPr>
              <w:spacing w:after="0" w:line="240" w:lineRule="auto"/>
            </w:pPr>
            <w:r>
              <w:rPr>
                <w:sz w:val="15"/>
              </w:rPr>
              <w:t>0,060</w:t>
            </w:r>
          </w:p>
        </w:tc>
        <w:tc>
          <w:tcPr>
            <w:tcW w:type="dxa" w:w="544"/>
          </w:tcPr>
          <w:p>
            <w:pPr>
              <w:spacing w:after="0" w:line="240" w:lineRule="auto"/>
            </w:pPr>
            <w:r>
              <w:rPr>
                <w:sz w:val="15"/>
              </w:rPr>
              <w:t>1,419</w:t>
            </w:r>
          </w:p>
        </w:tc>
        <w:tc>
          <w:tcPr>
            <w:tcW w:type="dxa" w:w="761"/>
          </w:tcPr>
          <w:p>
            <w:pPr>
              <w:spacing w:after="0" w:line="240" w:lineRule="auto"/>
            </w:pPr>
            <w:r>
              <w:rPr>
                <w:sz w:val="15"/>
              </w:rPr>
              <w:t>5 618</w:t>
            </w:r>
          </w:p>
        </w:tc>
        <w:tc>
          <w:tcPr>
            <w:tcW w:type="dxa" w:w="870"/>
          </w:tcPr>
          <w:p>
            <w:pPr>
              <w:spacing w:after="0" w:line="240" w:lineRule="auto"/>
            </w:pPr>
            <w:r>
              <w:rPr>
                <w:sz w:val="15"/>
              </w:rPr>
              <w:t>56,0</w:t>
            </w:r>
          </w:p>
        </w:tc>
        <w:tc>
          <w:tcPr>
            <w:tcW w:type="dxa" w:w="652"/>
          </w:tcPr>
          <w:p>
            <w:pPr>
              <w:spacing w:after="0" w:line="240" w:lineRule="auto"/>
            </w:pPr>
            <w:r>
              <w:rPr>
                <w:sz w:val="15"/>
              </w:rPr>
              <w:t>0,9974</w:t>
            </w:r>
          </w:p>
        </w:tc>
        <w:tc>
          <w:tcPr>
            <w:tcW w:type="dxa" w:w="761"/>
          </w:tcPr>
          <w:p>
            <w:pPr>
              <w:spacing w:after="0" w:line="240" w:lineRule="auto"/>
            </w:pPr>
            <w:r>
              <w:rPr>
                <w:sz w:val="15"/>
              </w:rPr>
              <w:t>1 157,0</w:t>
            </w:r>
          </w:p>
        </w:tc>
        <w:tc>
          <w:tcPr>
            <w:tcW w:type="dxa" w:w="652"/>
          </w:tcPr>
          <w:p>
            <w:pPr>
              <w:spacing w:after="0" w:line="240" w:lineRule="auto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175"/>
          </w:tcPr>
          <w:p>
            <w:pPr>
              <w:spacing w:after="0" w:line="240" w:lineRule="auto"/>
            </w:pPr>
            <w:r>
              <w:rPr>
                <w:sz w:val="15"/>
              </w:rPr>
              <w:t>Калининградская обл.</w:t>
            </w:r>
          </w:p>
        </w:tc>
        <w:tc>
          <w:tcPr>
            <w:tcW w:type="dxa" w:w="1305"/>
          </w:tcPr>
          <w:p>
            <w:pPr>
              <w:spacing w:after="0" w:line="240" w:lineRule="auto"/>
            </w:pPr>
            <w:r>
              <w:rPr>
                <w:sz w:val="15"/>
              </w:rPr>
              <w:t>дробная</w:t>
            </w:r>
          </w:p>
        </w:tc>
        <w:tc>
          <w:tcPr>
            <w:tcW w:type="dxa" w:w="2066"/>
          </w:tcPr>
          <w:p>
            <w:pPr>
              <w:spacing w:after="0" w:line="240" w:lineRule="auto"/>
            </w:pPr>
            <w:r>
              <w:rPr>
                <w:sz w:val="15"/>
              </w:rPr>
              <w:t>0,387 (0,331–0,442)</w:t>
            </w:r>
          </w:p>
        </w:tc>
        <w:tc>
          <w:tcPr>
            <w:tcW w:type="dxa" w:w="870"/>
          </w:tcPr>
          <w:p>
            <w:pPr>
              <w:spacing w:after="0" w:line="240" w:lineRule="auto"/>
            </w:pPr>
            <w:r>
              <w:rPr>
                <w:sz w:val="15"/>
              </w:rPr>
              <w:t>0,091</w:t>
            </w:r>
          </w:p>
        </w:tc>
        <w:tc>
          <w:tcPr>
            <w:tcW w:type="dxa" w:w="544"/>
          </w:tcPr>
          <w:p>
            <w:pPr>
              <w:spacing w:after="0" w:line="240" w:lineRule="auto"/>
            </w:pPr>
            <w:r>
              <w:rPr>
                <w:sz w:val="15"/>
              </w:rPr>
              <w:t>1,839</w:t>
            </w:r>
          </w:p>
        </w:tc>
        <w:tc>
          <w:tcPr>
            <w:tcW w:type="dxa" w:w="761"/>
          </w:tcPr>
          <w:p>
            <w:pPr>
              <w:spacing w:after="0" w:line="240" w:lineRule="auto"/>
            </w:pPr>
            <w:r>
              <w:rPr>
                <w:sz w:val="15"/>
              </w:rPr>
              <w:t>9 419</w:t>
            </w:r>
          </w:p>
        </w:tc>
        <w:tc>
          <w:tcPr>
            <w:tcW w:type="dxa" w:w="870"/>
          </w:tcPr>
          <w:p>
            <w:pPr>
              <w:spacing w:after="0" w:line="240" w:lineRule="auto"/>
            </w:pPr>
            <w:r>
              <w:rPr>
                <w:sz w:val="15"/>
              </w:rPr>
              <w:t>34,6</w:t>
            </w:r>
          </w:p>
        </w:tc>
        <w:tc>
          <w:tcPr>
            <w:tcW w:type="dxa" w:w="652"/>
          </w:tcPr>
          <w:p>
            <w:pPr>
              <w:spacing w:after="0" w:line="240" w:lineRule="auto"/>
            </w:pPr>
            <w:r>
              <w:rPr>
                <w:sz w:val="15"/>
              </w:rPr>
              <w:t>0,9990</w:t>
            </w:r>
          </w:p>
        </w:tc>
        <w:tc>
          <w:tcPr>
            <w:tcW w:type="dxa" w:w="761"/>
          </w:tcPr>
          <w:p>
            <w:pPr>
              <w:spacing w:after="0" w:line="240" w:lineRule="auto"/>
            </w:pPr>
            <w:r>
              <w:rPr>
                <w:sz w:val="15"/>
              </w:rPr>
              <w:t>1 021,6</w:t>
            </w:r>
          </w:p>
        </w:tc>
        <w:tc>
          <w:tcPr>
            <w:tcW w:type="dxa" w:w="652"/>
          </w:tcPr>
          <w:p>
            <w:pPr>
              <w:spacing w:after="0" w:line="240" w:lineRule="auto"/>
            </w:pPr>
            <w:r>
              <w:rPr>
                <w:sz w:val="15"/>
              </w:rPr>
              <w:t>+135,5</w:t>
            </w:r>
          </w:p>
        </w:tc>
      </w:tr>
      <w:tr>
        <w:tc>
          <w:tcPr>
            <w:tcW w:type="dxa" w:w="2175"/>
          </w:tcPr>
          <w:p>
            <w:pPr>
              <w:spacing w:after="0" w:line="240" w:lineRule="auto"/>
            </w:pPr>
            <w:r>
              <w:rPr>
                <w:sz w:val="15"/>
              </w:rPr>
              <w:t>Новгородская обл.</w:t>
            </w:r>
          </w:p>
        </w:tc>
        <w:tc>
          <w:tcPr>
            <w:tcW w:type="dxa" w:w="1305"/>
          </w:tcPr>
          <w:p>
            <w:pPr>
              <w:spacing w:after="0" w:line="240" w:lineRule="auto"/>
            </w:pPr>
            <w:r>
              <w:rPr>
                <w:sz w:val="15"/>
              </w:rPr>
              <w:t>классическая</w:t>
            </w:r>
          </w:p>
        </w:tc>
        <w:tc>
          <w:tcPr>
            <w:tcW w:type="dxa" w:w="2066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870"/>
          </w:tcPr>
          <w:p>
            <w:pPr>
              <w:spacing w:after="0" w:line="240" w:lineRule="auto"/>
            </w:pPr>
            <w:r>
              <w:rPr>
                <w:sz w:val="15"/>
              </w:rPr>
              <w:t>0,060</w:t>
            </w:r>
          </w:p>
        </w:tc>
        <w:tc>
          <w:tcPr>
            <w:tcW w:type="dxa" w:w="544"/>
          </w:tcPr>
          <w:p>
            <w:pPr>
              <w:spacing w:after="0" w:line="240" w:lineRule="auto"/>
            </w:pPr>
            <w:r>
              <w:rPr>
                <w:sz w:val="15"/>
              </w:rPr>
              <w:t>1,423</w:t>
            </w:r>
          </w:p>
        </w:tc>
        <w:tc>
          <w:tcPr>
            <w:tcW w:type="dxa" w:w="761"/>
          </w:tcPr>
          <w:p>
            <w:pPr>
              <w:spacing w:after="0" w:line="240" w:lineRule="auto"/>
            </w:pPr>
            <w:r>
              <w:rPr>
                <w:sz w:val="15"/>
              </w:rPr>
              <w:t>7 733</w:t>
            </w:r>
          </w:p>
        </w:tc>
        <w:tc>
          <w:tcPr>
            <w:tcW w:type="dxa" w:w="870"/>
          </w:tcPr>
          <w:p>
            <w:pPr>
              <w:spacing w:after="0" w:line="240" w:lineRule="auto"/>
            </w:pPr>
            <w:r>
              <w:rPr>
                <w:sz w:val="15"/>
              </w:rPr>
              <w:t>35,5</w:t>
            </w:r>
          </w:p>
        </w:tc>
        <w:tc>
          <w:tcPr>
            <w:tcW w:type="dxa" w:w="652"/>
          </w:tcPr>
          <w:p>
            <w:pPr>
              <w:spacing w:after="0" w:line="240" w:lineRule="auto"/>
            </w:pPr>
            <w:r>
              <w:rPr>
                <w:sz w:val="15"/>
              </w:rPr>
              <w:t>0,9994</w:t>
            </w:r>
          </w:p>
        </w:tc>
        <w:tc>
          <w:tcPr>
            <w:tcW w:type="dxa" w:w="761"/>
          </w:tcPr>
          <w:p>
            <w:pPr>
              <w:spacing w:after="0" w:line="240" w:lineRule="auto"/>
            </w:pPr>
            <w:r>
              <w:rPr>
                <w:sz w:val="15"/>
              </w:rPr>
              <w:t>1 027,0</w:t>
            </w:r>
          </w:p>
        </w:tc>
        <w:tc>
          <w:tcPr>
            <w:tcW w:type="dxa" w:w="652"/>
          </w:tcPr>
          <w:p>
            <w:pPr>
              <w:spacing w:after="0" w:line="240" w:lineRule="auto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175"/>
          </w:tcPr>
          <w:p>
            <w:pPr>
              <w:spacing w:after="0" w:line="240" w:lineRule="auto"/>
            </w:pPr>
            <w:r>
              <w:rPr>
                <w:sz w:val="15"/>
              </w:rPr>
              <w:t>Новгородская обл.</w:t>
            </w:r>
          </w:p>
        </w:tc>
        <w:tc>
          <w:tcPr>
            <w:tcW w:type="dxa" w:w="1305"/>
          </w:tcPr>
          <w:p>
            <w:pPr>
              <w:spacing w:after="0" w:line="240" w:lineRule="auto"/>
            </w:pPr>
            <w:r>
              <w:rPr>
                <w:sz w:val="15"/>
              </w:rPr>
              <w:t>дробная</w:t>
            </w:r>
          </w:p>
        </w:tc>
        <w:tc>
          <w:tcPr>
            <w:tcW w:type="dxa" w:w="2066"/>
          </w:tcPr>
          <w:p>
            <w:pPr>
              <w:spacing w:after="0" w:line="240" w:lineRule="auto"/>
            </w:pPr>
            <w:r>
              <w:rPr>
                <w:sz w:val="15"/>
              </w:rPr>
              <w:t>0,839 (0,732–0,947)</w:t>
            </w:r>
          </w:p>
        </w:tc>
        <w:tc>
          <w:tcPr>
            <w:tcW w:type="dxa" w:w="870"/>
          </w:tcPr>
          <w:p>
            <w:pPr>
              <w:spacing w:after="0" w:line="240" w:lineRule="auto"/>
            </w:pPr>
            <w:r>
              <w:rPr>
                <w:sz w:val="15"/>
              </w:rPr>
              <w:t>0,063</w:t>
            </w:r>
          </w:p>
        </w:tc>
        <w:tc>
          <w:tcPr>
            <w:tcW w:type="dxa" w:w="544"/>
          </w:tcPr>
          <w:p>
            <w:pPr>
              <w:spacing w:after="0" w:line="240" w:lineRule="auto"/>
            </w:pPr>
            <w:r>
              <w:rPr>
                <w:sz w:val="15"/>
              </w:rPr>
              <w:t>1,506</w:t>
            </w:r>
          </w:p>
        </w:tc>
        <w:tc>
          <w:tcPr>
            <w:tcW w:type="dxa" w:w="761"/>
          </w:tcPr>
          <w:p>
            <w:pPr>
              <w:spacing w:after="0" w:line="240" w:lineRule="auto"/>
            </w:pPr>
            <w:r>
              <w:rPr>
                <w:sz w:val="15"/>
              </w:rPr>
              <w:t>8 741</w:t>
            </w:r>
          </w:p>
        </w:tc>
        <w:tc>
          <w:tcPr>
            <w:tcW w:type="dxa" w:w="870"/>
          </w:tcPr>
          <w:p>
            <w:pPr>
              <w:spacing w:after="0" w:line="240" w:lineRule="auto"/>
            </w:pPr>
            <w:r>
              <w:rPr>
                <w:sz w:val="15"/>
              </w:rPr>
              <w:t>35,3</w:t>
            </w:r>
          </w:p>
        </w:tc>
        <w:tc>
          <w:tcPr>
            <w:tcW w:type="dxa" w:w="652"/>
          </w:tcPr>
          <w:p>
            <w:pPr>
              <w:spacing w:after="0" w:line="240" w:lineRule="auto"/>
            </w:pPr>
            <w:r>
              <w:rPr>
                <w:sz w:val="15"/>
              </w:rPr>
              <w:t>0,9994</w:t>
            </w:r>
          </w:p>
        </w:tc>
        <w:tc>
          <w:tcPr>
            <w:tcW w:type="dxa" w:w="761"/>
          </w:tcPr>
          <w:p>
            <w:pPr>
              <w:spacing w:after="0" w:line="240" w:lineRule="auto"/>
            </w:pPr>
            <w:r>
              <w:rPr>
                <w:sz w:val="15"/>
              </w:rPr>
              <w:t>1 027,1</w:t>
            </w:r>
          </w:p>
        </w:tc>
        <w:tc>
          <w:tcPr>
            <w:tcW w:type="dxa" w:w="652"/>
          </w:tcPr>
          <w:p>
            <w:pPr>
              <w:spacing w:after="0" w:line="240" w:lineRule="auto"/>
            </w:pPr>
            <w:r>
              <w:rPr>
                <w:sz w:val="15"/>
              </w:rPr>
              <w:t>−0,0</w:t>
            </w:r>
          </w:p>
        </w:tc>
      </w:tr>
      <w:tr>
        <w:tc>
          <w:tcPr>
            <w:tcW w:type="dxa" w:w="2175"/>
          </w:tcPr>
          <w:p>
            <w:pPr>
              <w:spacing w:after="0" w:line="240" w:lineRule="auto"/>
            </w:pPr>
            <w:r>
              <w:rPr>
                <w:sz w:val="15"/>
              </w:rPr>
              <w:t>Нью-Йорк</w:t>
            </w:r>
          </w:p>
        </w:tc>
        <w:tc>
          <w:tcPr>
            <w:tcW w:type="dxa" w:w="1305"/>
          </w:tcPr>
          <w:p>
            <w:pPr>
              <w:spacing w:after="0" w:line="240" w:lineRule="auto"/>
            </w:pPr>
            <w:r>
              <w:rPr>
                <w:sz w:val="15"/>
              </w:rPr>
              <w:t>классическая</w:t>
            </w:r>
          </w:p>
        </w:tc>
        <w:tc>
          <w:tcPr>
            <w:tcW w:type="dxa" w:w="2066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870"/>
          </w:tcPr>
          <w:p>
            <w:pPr>
              <w:spacing w:after="0" w:line="240" w:lineRule="auto"/>
            </w:pPr>
            <w:r>
              <w:rPr>
                <w:sz w:val="15"/>
              </w:rPr>
              <w:t>0,095</w:t>
            </w:r>
          </w:p>
        </w:tc>
        <w:tc>
          <w:tcPr>
            <w:tcW w:type="dxa" w:w="544"/>
          </w:tcPr>
          <w:p>
            <w:pPr>
              <w:spacing w:after="0" w:line="240" w:lineRule="auto"/>
            </w:pPr>
            <w:r>
              <w:rPr>
                <w:sz w:val="15"/>
              </w:rPr>
              <w:t>1,663</w:t>
            </w:r>
          </w:p>
        </w:tc>
        <w:tc>
          <w:tcPr>
            <w:tcW w:type="dxa" w:w="761"/>
          </w:tcPr>
          <w:p>
            <w:pPr>
              <w:spacing w:after="0" w:line="240" w:lineRule="auto"/>
            </w:pPr>
            <w:r>
              <w:rPr>
                <w:sz w:val="15"/>
              </w:rPr>
              <w:t>313 102</w:t>
            </w:r>
          </w:p>
        </w:tc>
        <w:tc>
          <w:tcPr>
            <w:tcW w:type="dxa" w:w="870"/>
          </w:tcPr>
          <w:p>
            <w:pPr>
              <w:spacing w:after="0" w:line="240" w:lineRule="auto"/>
            </w:pPr>
            <w:r>
              <w:rPr>
                <w:sz w:val="15"/>
              </w:rPr>
              <w:t>6 230,0</w:t>
            </w:r>
          </w:p>
        </w:tc>
        <w:tc>
          <w:tcPr>
            <w:tcW w:type="dxa" w:w="652"/>
          </w:tcPr>
          <w:p>
            <w:pPr>
              <w:spacing w:after="0" w:line="240" w:lineRule="auto"/>
            </w:pPr>
            <w:r>
              <w:rPr>
                <w:sz w:val="15"/>
              </w:rPr>
              <w:t>0,9936</w:t>
            </w:r>
          </w:p>
        </w:tc>
        <w:tc>
          <w:tcPr>
            <w:tcW w:type="dxa" w:w="761"/>
          </w:tcPr>
          <w:p>
            <w:pPr>
              <w:spacing w:after="0" w:line="240" w:lineRule="auto"/>
            </w:pPr>
            <w:r>
              <w:rPr>
                <w:sz w:val="15"/>
              </w:rPr>
              <w:t>2 697,0</w:t>
            </w:r>
          </w:p>
        </w:tc>
        <w:tc>
          <w:tcPr>
            <w:tcW w:type="dxa" w:w="652"/>
          </w:tcPr>
          <w:p>
            <w:pPr>
              <w:spacing w:after="0" w:line="240" w:lineRule="auto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175"/>
          </w:tcPr>
          <w:p>
            <w:pPr>
              <w:spacing w:after="0" w:line="240" w:lineRule="auto"/>
            </w:pPr>
            <w:r>
              <w:rPr>
                <w:sz w:val="15"/>
              </w:rPr>
              <w:t>Нью-Йорк</w:t>
            </w:r>
          </w:p>
        </w:tc>
        <w:tc>
          <w:tcPr>
            <w:tcW w:type="dxa" w:w="1305"/>
          </w:tcPr>
          <w:p>
            <w:pPr>
              <w:spacing w:after="0" w:line="240" w:lineRule="auto"/>
            </w:pPr>
            <w:r>
              <w:rPr>
                <w:sz w:val="15"/>
              </w:rPr>
              <w:t>дробная</w:t>
            </w:r>
          </w:p>
        </w:tc>
        <w:tc>
          <w:tcPr>
            <w:tcW w:type="dxa" w:w="2066"/>
          </w:tcPr>
          <w:p>
            <w:pPr>
              <w:spacing w:after="0" w:line="240" w:lineRule="auto"/>
            </w:pPr>
            <w:r>
              <w:rPr>
                <w:sz w:val="15"/>
              </w:rPr>
              <w:t>0,416 (0,403–0,428)</w:t>
            </w:r>
          </w:p>
        </w:tc>
        <w:tc>
          <w:tcPr>
            <w:tcW w:type="dxa" w:w="870"/>
          </w:tcPr>
          <w:p>
            <w:pPr>
              <w:spacing w:after="0" w:line="240" w:lineRule="auto"/>
            </w:pPr>
            <w:r>
              <w:rPr>
                <w:sz w:val="15"/>
              </w:rPr>
              <w:t>0,188</w:t>
            </w:r>
          </w:p>
        </w:tc>
        <w:tc>
          <w:tcPr>
            <w:tcW w:type="dxa" w:w="544"/>
          </w:tcPr>
          <w:p>
            <w:pPr>
              <w:spacing w:after="0" w:line="240" w:lineRule="auto"/>
            </w:pPr>
            <w:r>
              <w:rPr>
                <w:sz w:val="15"/>
              </w:rPr>
              <w:t>2,122</w:t>
            </w:r>
          </w:p>
        </w:tc>
        <w:tc>
          <w:tcPr>
            <w:tcW w:type="dxa" w:w="761"/>
          </w:tcPr>
          <w:p>
            <w:pPr>
              <w:spacing w:after="0" w:line="240" w:lineRule="auto"/>
            </w:pPr>
            <w:r>
              <w:rPr>
                <w:sz w:val="15"/>
              </w:rPr>
              <w:t>483 966</w:t>
            </w:r>
          </w:p>
        </w:tc>
        <w:tc>
          <w:tcPr>
            <w:tcW w:type="dxa" w:w="870"/>
          </w:tcPr>
          <w:p>
            <w:pPr>
              <w:spacing w:after="0" w:line="240" w:lineRule="auto"/>
            </w:pPr>
            <w:r>
              <w:rPr>
                <w:sz w:val="15"/>
              </w:rPr>
              <w:t>1 351,5</w:t>
            </w:r>
          </w:p>
        </w:tc>
        <w:tc>
          <w:tcPr>
            <w:tcW w:type="dxa" w:w="652"/>
          </w:tcPr>
          <w:p>
            <w:pPr>
              <w:spacing w:after="0" w:line="240" w:lineRule="auto"/>
            </w:pPr>
            <w:r>
              <w:rPr>
                <w:sz w:val="15"/>
              </w:rPr>
              <w:t>0,9997</w:t>
            </w:r>
          </w:p>
        </w:tc>
        <w:tc>
          <w:tcPr>
            <w:tcW w:type="dxa" w:w="761"/>
          </w:tcPr>
          <w:p>
            <w:pPr>
              <w:spacing w:after="0" w:line="240" w:lineRule="auto"/>
            </w:pPr>
            <w:r>
              <w:rPr>
                <w:sz w:val="15"/>
              </w:rPr>
              <w:t>2 228,4</w:t>
            </w:r>
          </w:p>
        </w:tc>
        <w:tc>
          <w:tcPr>
            <w:tcW w:type="dxa" w:w="652"/>
          </w:tcPr>
          <w:p>
            <w:pPr>
              <w:spacing w:after="0" w:line="240" w:lineRule="auto"/>
            </w:pPr>
            <w:r>
              <w:rPr>
                <w:sz w:val="15"/>
              </w:rPr>
              <w:t>+468,7</w:t>
            </w:r>
          </w:p>
        </w:tc>
      </w:tr>
      <w:tr>
        <w:tc>
          <w:tcPr>
            <w:tcW w:type="dxa" w:w="2175"/>
          </w:tcPr>
          <w:p>
            <w:pPr>
              <w:spacing w:after="0" w:line="240" w:lineRule="auto"/>
            </w:pPr>
            <w:r>
              <w:rPr>
                <w:sz w:val="15"/>
              </w:rPr>
              <w:t>Милан</w:t>
            </w:r>
          </w:p>
        </w:tc>
        <w:tc>
          <w:tcPr>
            <w:tcW w:type="dxa" w:w="1305"/>
          </w:tcPr>
          <w:p>
            <w:pPr>
              <w:spacing w:after="0" w:line="240" w:lineRule="auto"/>
            </w:pPr>
            <w:r>
              <w:rPr>
                <w:sz w:val="15"/>
              </w:rPr>
              <w:t>классическая</w:t>
            </w:r>
          </w:p>
        </w:tc>
        <w:tc>
          <w:tcPr>
            <w:tcW w:type="dxa" w:w="2066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870"/>
          </w:tcPr>
          <w:p>
            <w:pPr>
              <w:spacing w:after="0" w:line="240" w:lineRule="auto"/>
            </w:pPr>
            <w:r>
              <w:rPr>
                <w:sz w:val="15"/>
              </w:rPr>
              <w:t>0,075</w:t>
            </w:r>
          </w:p>
        </w:tc>
        <w:tc>
          <w:tcPr>
            <w:tcW w:type="dxa" w:w="544"/>
          </w:tcPr>
          <w:p>
            <w:pPr>
              <w:spacing w:after="0" w:line="240" w:lineRule="auto"/>
            </w:pPr>
            <w:r>
              <w:rPr>
                <w:sz w:val="15"/>
              </w:rPr>
              <w:t>1,522</w:t>
            </w:r>
          </w:p>
        </w:tc>
        <w:tc>
          <w:tcPr>
            <w:tcW w:type="dxa" w:w="761"/>
          </w:tcPr>
          <w:p>
            <w:pPr>
              <w:spacing w:after="0" w:line="240" w:lineRule="auto"/>
            </w:pPr>
            <w:r>
              <w:rPr>
                <w:sz w:val="15"/>
              </w:rPr>
              <w:t>40 262</w:t>
            </w:r>
          </w:p>
        </w:tc>
        <w:tc>
          <w:tcPr>
            <w:tcW w:type="dxa" w:w="870"/>
          </w:tcPr>
          <w:p>
            <w:pPr>
              <w:spacing w:after="0" w:line="240" w:lineRule="auto"/>
            </w:pPr>
            <w:r>
              <w:rPr>
                <w:sz w:val="15"/>
              </w:rPr>
              <w:t>521,1</w:t>
            </w:r>
          </w:p>
        </w:tc>
        <w:tc>
          <w:tcPr>
            <w:tcW w:type="dxa" w:w="652"/>
          </w:tcPr>
          <w:p>
            <w:pPr>
              <w:spacing w:after="0" w:line="240" w:lineRule="auto"/>
            </w:pPr>
            <w:r>
              <w:rPr>
                <w:sz w:val="15"/>
              </w:rPr>
              <w:t>0,9964</w:t>
            </w:r>
          </w:p>
        </w:tc>
        <w:tc>
          <w:tcPr>
            <w:tcW w:type="dxa" w:w="761"/>
          </w:tcPr>
          <w:p>
            <w:pPr>
              <w:spacing w:after="0" w:line="240" w:lineRule="auto"/>
            </w:pPr>
            <w:r>
              <w:rPr>
                <w:sz w:val="15"/>
              </w:rPr>
              <w:t>1 982,9</w:t>
            </w:r>
          </w:p>
        </w:tc>
        <w:tc>
          <w:tcPr>
            <w:tcW w:type="dxa" w:w="652"/>
          </w:tcPr>
          <w:p>
            <w:pPr>
              <w:spacing w:after="0" w:line="240" w:lineRule="auto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175"/>
          </w:tcPr>
          <w:p>
            <w:pPr>
              <w:spacing w:after="0" w:line="240" w:lineRule="auto"/>
            </w:pPr>
            <w:r>
              <w:rPr>
                <w:sz w:val="15"/>
              </w:rPr>
              <w:t>Милан</w:t>
            </w:r>
          </w:p>
        </w:tc>
        <w:tc>
          <w:tcPr>
            <w:tcW w:type="dxa" w:w="1305"/>
          </w:tcPr>
          <w:p>
            <w:pPr>
              <w:spacing w:after="0" w:line="240" w:lineRule="auto"/>
            </w:pPr>
            <w:r>
              <w:rPr>
                <w:sz w:val="15"/>
              </w:rPr>
              <w:t>дробная</w:t>
            </w:r>
          </w:p>
        </w:tc>
        <w:tc>
          <w:tcPr>
            <w:tcW w:type="dxa" w:w="2066"/>
          </w:tcPr>
          <w:p>
            <w:pPr>
              <w:spacing w:after="0" w:line="240" w:lineRule="auto"/>
            </w:pPr>
            <w:r>
              <w:rPr>
                <w:sz w:val="15"/>
              </w:rPr>
              <w:t>0,530 (0,501–0,560)</w:t>
            </w:r>
          </w:p>
        </w:tc>
        <w:tc>
          <w:tcPr>
            <w:tcW w:type="dxa" w:w="870"/>
          </w:tcPr>
          <w:p>
            <w:pPr>
              <w:spacing w:after="0" w:line="240" w:lineRule="auto"/>
            </w:pPr>
            <w:r>
              <w:rPr>
                <w:sz w:val="15"/>
              </w:rPr>
              <w:t>0,118</w:t>
            </w:r>
          </w:p>
        </w:tc>
        <w:tc>
          <w:tcPr>
            <w:tcW w:type="dxa" w:w="544"/>
          </w:tcPr>
          <w:p>
            <w:pPr>
              <w:spacing w:after="0" w:line="240" w:lineRule="auto"/>
            </w:pPr>
            <w:r>
              <w:rPr>
                <w:sz w:val="15"/>
              </w:rPr>
              <w:t>1,903</w:t>
            </w:r>
          </w:p>
        </w:tc>
        <w:tc>
          <w:tcPr>
            <w:tcW w:type="dxa" w:w="761"/>
          </w:tcPr>
          <w:p>
            <w:pPr>
              <w:spacing w:after="0" w:line="240" w:lineRule="auto"/>
            </w:pPr>
            <w:r>
              <w:rPr>
                <w:sz w:val="15"/>
              </w:rPr>
              <w:t>54 221</w:t>
            </w:r>
          </w:p>
        </w:tc>
        <w:tc>
          <w:tcPr>
            <w:tcW w:type="dxa" w:w="870"/>
          </w:tcPr>
          <w:p>
            <w:pPr>
              <w:spacing w:after="0" w:line="240" w:lineRule="auto"/>
            </w:pPr>
            <w:r>
              <w:rPr>
                <w:sz w:val="15"/>
              </w:rPr>
              <w:t>331,5</w:t>
            </w:r>
          </w:p>
        </w:tc>
        <w:tc>
          <w:tcPr>
            <w:tcW w:type="dxa" w:w="652"/>
          </w:tcPr>
          <w:p>
            <w:pPr>
              <w:spacing w:after="0" w:line="240" w:lineRule="auto"/>
            </w:pPr>
            <w:r>
              <w:rPr>
                <w:sz w:val="15"/>
              </w:rPr>
              <w:t>0,9986</w:t>
            </w:r>
          </w:p>
        </w:tc>
        <w:tc>
          <w:tcPr>
            <w:tcW w:type="dxa" w:w="761"/>
          </w:tcPr>
          <w:p>
            <w:pPr>
              <w:spacing w:after="0" w:line="240" w:lineRule="auto"/>
            </w:pPr>
            <w:r>
              <w:rPr>
                <w:sz w:val="15"/>
              </w:rPr>
              <w:t>1 841,9</w:t>
            </w:r>
          </w:p>
        </w:tc>
        <w:tc>
          <w:tcPr>
            <w:tcW w:type="dxa" w:w="652"/>
          </w:tcPr>
          <w:p>
            <w:pPr>
              <w:spacing w:after="0" w:line="240" w:lineRule="auto"/>
            </w:pPr>
            <w:r>
              <w:rPr>
                <w:sz w:val="15"/>
              </w:rPr>
              <w:t>+140,9</w:t>
            </w:r>
          </w:p>
        </w:tc>
      </w:tr>
      <w:tr>
        <w:tc>
          <w:tcPr>
            <w:tcW w:type="dxa" w:w="2175"/>
          </w:tcPr>
          <w:p>
            <w:pPr>
              <w:spacing w:after="0" w:line="240" w:lineRule="auto"/>
            </w:pPr>
            <w:r>
              <w:rPr>
                <w:sz w:val="15"/>
              </w:rPr>
              <w:t>Дели</w:t>
            </w:r>
          </w:p>
        </w:tc>
        <w:tc>
          <w:tcPr>
            <w:tcW w:type="dxa" w:w="1305"/>
          </w:tcPr>
          <w:p>
            <w:pPr>
              <w:spacing w:after="0" w:line="240" w:lineRule="auto"/>
            </w:pPr>
            <w:r>
              <w:rPr>
                <w:sz w:val="15"/>
              </w:rPr>
              <w:t>классическая</w:t>
            </w:r>
          </w:p>
        </w:tc>
        <w:tc>
          <w:tcPr>
            <w:tcW w:type="dxa" w:w="2066"/>
          </w:tcPr>
          <w:p>
            <w:pPr>
              <w:spacing w:after="0" w:line="240" w:lineRule="auto"/>
            </w:pPr>
            <w:r>
              <w:rPr>
                <w:sz w:val="15"/>
              </w:rPr>
              <w:t>1</w:t>
            </w:r>
          </w:p>
        </w:tc>
        <w:tc>
          <w:tcPr>
            <w:tcW w:type="dxa" w:w="870"/>
          </w:tcPr>
          <w:p>
            <w:pPr>
              <w:spacing w:after="0" w:line="240" w:lineRule="auto"/>
            </w:pPr>
            <w:r>
              <w:rPr>
                <w:sz w:val="15"/>
              </w:rPr>
              <w:t>0,208</w:t>
            </w:r>
          </w:p>
        </w:tc>
        <w:tc>
          <w:tcPr>
            <w:tcW w:type="dxa" w:w="544"/>
          </w:tcPr>
          <w:p>
            <w:pPr>
              <w:spacing w:after="0" w:line="240" w:lineRule="auto"/>
            </w:pPr>
            <w:r>
              <w:rPr>
                <w:sz w:val="15"/>
              </w:rPr>
              <w:t>2,458</w:t>
            </w:r>
          </w:p>
        </w:tc>
        <w:tc>
          <w:tcPr>
            <w:tcW w:type="dxa" w:w="761"/>
          </w:tcPr>
          <w:p>
            <w:pPr>
              <w:spacing w:after="0" w:line="240" w:lineRule="auto"/>
            </w:pPr>
            <w:r>
              <w:rPr>
                <w:sz w:val="15"/>
              </w:rPr>
              <w:t>898 229</w:t>
            </w:r>
          </w:p>
        </w:tc>
        <w:tc>
          <w:tcPr>
            <w:tcW w:type="dxa" w:w="870"/>
          </w:tcPr>
          <w:p>
            <w:pPr>
              <w:spacing w:after="0" w:line="240" w:lineRule="auto"/>
            </w:pPr>
            <w:r>
              <w:rPr>
                <w:sz w:val="15"/>
              </w:rPr>
              <w:t>10 751,0</w:t>
            </w:r>
          </w:p>
        </w:tc>
        <w:tc>
          <w:tcPr>
            <w:tcW w:type="dxa" w:w="652"/>
          </w:tcPr>
          <w:p>
            <w:pPr>
              <w:spacing w:after="0" w:line="240" w:lineRule="auto"/>
            </w:pPr>
            <w:r>
              <w:rPr>
                <w:sz w:val="15"/>
              </w:rPr>
              <w:t>0,9990</w:t>
            </w:r>
          </w:p>
        </w:tc>
        <w:tc>
          <w:tcPr>
            <w:tcW w:type="dxa" w:w="761"/>
          </w:tcPr>
          <w:p>
            <w:pPr>
              <w:spacing w:after="0" w:line="240" w:lineRule="auto"/>
            </w:pPr>
            <w:r>
              <w:rPr>
                <w:sz w:val="15"/>
              </w:rPr>
              <w:t>2 530,9</w:t>
            </w:r>
          </w:p>
        </w:tc>
        <w:tc>
          <w:tcPr>
            <w:tcW w:type="dxa" w:w="652"/>
          </w:tcPr>
          <w:p>
            <w:pPr>
              <w:spacing w:after="0" w:line="240" w:lineRule="auto"/>
            </w:pPr>
            <w:r>
              <w:rPr>
                <w:sz w:val="15"/>
              </w:rPr>
              <w:t>—</w:t>
            </w:r>
          </w:p>
        </w:tc>
      </w:tr>
      <w:tr>
        <w:tc>
          <w:tcPr>
            <w:tcW w:type="dxa" w:w="2175"/>
          </w:tcPr>
          <w:p>
            <w:pPr>
              <w:spacing w:after="0" w:line="240" w:lineRule="auto"/>
            </w:pPr>
            <w:r>
              <w:rPr>
                <w:sz w:val="15"/>
              </w:rPr>
              <w:t>Дели</w:t>
            </w:r>
          </w:p>
        </w:tc>
        <w:tc>
          <w:tcPr>
            <w:tcW w:type="dxa" w:w="1305"/>
          </w:tcPr>
          <w:p>
            <w:pPr>
              <w:spacing w:after="0" w:line="240" w:lineRule="auto"/>
            </w:pPr>
            <w:r>
              <w:rPr>
                <w:sz w:val="15"/>
              </w:rPr>
              <w:t>дробная</w:t>
            </w:r>
          </w:p>
        </w:tc>
        <w:tc>
          <w:tcPr>
            <w:tcW w:type="dxa" w:w="2066"/>
          </w:tcPr>
          <w:p>
            <w:pPr>
              <w:spacing w:after="0" w:line="240" w:lineRule="auto"/>
            </w:pPr>
            <w:r>
              <w:rPr>
                <w:sz w:val="15"/>
              </w:rPr>
              <w:t>0,990 (0,975–1,000)</w:t>
            </w:r>
          </w:p>
        </w:tc>
        <w:tc>
          <w:tcPr>
            <w:tcW w:type="dxa" w:w="870"/>
          </w:tcPr>
          <w:p>
            <w:pPr>
              <w:spacing w:after="0" w:line="240" w:lineRule="auto"/>
            </w:pPr>
            <w:r>
              <w:rPr>
                <w:sz w:val="15"/>
              </w:rPr>
              <w:t>0,207</w:t>
            </w:r>
          </w:p>
        </w:tc>
        <w:tc>
          <w:tcPr>
            <w:tcW w:type="dxa" w:w="544"/>
          </w:tcPr>
          <w:p>
            <w:pPr>
              <w:spacing w:after="0" w:line="240" w:lineRule="auto"/>
            </w:pPr>
            <w:r>
              <w:rPr>
                <w:sz w:val="15"/>
              </w:rPr>
              <w:t>2,444</w:t>
            </w:r>
          </w:p>
        </w:tc>
        <w:tc>
          <w:tcPr>
            <w:tcW w:type="dxa" w:w="761"/>
          </w:tcPr>
          <w:p>
            <w:pPr>
              <w:spacing w:after="0" w:line="240" w:lineRule="auto"/>
            </w:pPr>
            <w:r>
              <w:rPr>
                <w:sz w:val="15"/>
              </w:rPr>
              <w:t>912 422</w:t>
            </w:r>
          </w:p>
        </w:tc>
        <w:tc>
          <w:tcPr>
            <w:tcW w:type="dxa" w:w="870"/>
          </w:tcPr>
          <w:p>
            <w:pPr>
              <w:spacing w:after="0" w:line="240" w:lineRule="auto"/>
            </w:pPr>
            <w:r>
              <w:rPr>
                <w:sz w:val="15"/>
              </w:rPr>
              <w:t>10 686,1</w:t>
            </w:r>
          </w:p>
        </w:tc>
        <w:tc>
          <w:tcPr>
            <w:tcW w:type="dxa" w:w="652"/>
          </w:tcPr>
          <w:p>
            <w:pPr>
              <w:spacing w:after="0" w:line="240" w:lineRule="auto"/>
            </w:pPr>
            <w:r>
              <w:rPr>
                <w:sz w:val="15"/>
              </w:rPr>
              <w:t>0,9991</w:t>
            </w:r>
          </w:p>
        </w:tc>
        <w:tc>
          <w:tcPr>
            <w:tcW w:type="dxa" w:w="761"/>
          </w:tcPr>
          <w:p>
            <w:pPr>
              <w:spacing w:after="0" w:line="240" w:lineRule="auto"/>
            </w:pPr>
            <w:r>
              <w:rPr>
                <w:sz w:val="15"/>
              </w:rPr>
              <w:t>2 531,3</w:t>
            </w:r>
          </w:p>
        </w:tc>
        <w:tc>
          <w:tcPr>
            <w:tcW w:type="dxa" w:w="652"/>
          </w:tcPr>
          <w:p>
            <w:pPr>
              <w:spacing w:after="0" w:line="240" w:lineRule="auto"/>
            </w:pPr>
            <w:r>
              <w:rPr>
                <w:sz w:val="15"/>
              </w:rPr>
              <w:t>−0,4</w:t>
            </w:r>
          </w:p>
        </w:tc>
      </w:tr>
    </w:tbl>
    <w:p/>
    <w:p>
      <w:pPr>
        <w:jc w:val="both"/>
      </w:pPr>
      <w:r>
        <w:rPr>
          <w:b/>
        </w:rPr>
        <w:t>Таблица 3. Сравнение качества подгонки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Layout w:type="fixed"/>
      </w:tblPr>
      <w:tblGrid>
        <w:gridCol w:w="3324"/>
        <w:gridCol w:w="3324"/>
        <w:gridCol w:w="3324"/>
      </w:tblGrid>
      <w:tr>
        <w:tc>
          <w:tcPr>
            <w:tcW w:type="dxa" w:w="3357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Территория</w:t>
            </w:r>
          </w:p>
        </w:tc>
        <w:tc>
          <w:tcPr>
            <w:tcW w:type="dxa" w:w="2336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Снижение RMSE, %</w:t>
            </w:r>
          </w:p>
        </w:tc>
        <w:tc>
          <w:tcPr>
            <w:tcW w:type="dxa" w:w="4963"/>
          </w:tcPr>
          <w:p>
            <w:pPr>
              <w:spacing w:after="0" w:line="240" w:lineRule="auto"/>
            </w:pPr>
            <w:r>
              <w:rPr>
                <w:b/>
                <w:sz w:val="15"/>
              </w:rPr>
              <w:t>Вес Акаике: классическая / дробная</w:t>
            </w:r>
          </w:p>
        </w:tc>
      </w:tr>
      <w:tr>
        <w:tc>
          <w:tcPr>
            <w:tcW w:type="dxa" w:w="3357"/>
          </w:tcPr>
          <w:p>
            <w:pPr>
              <w:spacing w:after="0" w:line="240" w:lineRule="auto"/>
            </w:pPr>
            <w:r>
              <w:rPr>
                <w:sz w:val="15"/>
              </w:rPr>
              <w:t>Москва</w:t>
            </w:r>
          </w:p>
        </w:tc>
        <w:tc>
          <w:tcPr>
            <w:tcW w:type="dxa" w:w="2336"/>
          </w:tcPr>
          <w:p>
            <w:pPr>
              <w:spacing w:after="0" w:line="240" w:lineRule="auto"/>
            </w:pPr>
            <w:r>
              <w:rPr>
                <w:sz w:val="15"/>
              </w:rPr>
              <w:t>64,1</w:t>
            </w:r>
          </w:p>
        </w:tc>
        <w:tc>
          <w:tcPr>
            <w:tcW w:type="dxa" w:w="4963"/>
          </w:tcPr>
          <w:p>
            <w:pPr>
              <w:spacing w:after="0" w:line="240" w:lineRule="auto"/>
            </w:pPr>
            <w:r>
              <w:rPr>
                <w:sz w:val="15"/>
              </w:rPr>
              <w:t>0,000 / 1,000</w:t>
            </w:r>
          </w:p>
        </w:tc>
      </w:tr>
      <w:tr>
        <w:tc>
          <w:tcPr>
            <w:tcW w:type="dxa" w:w="3357"/>
          </w:tcPr>
          <w:p>
            <w:pPr>
              <w:spacing w:after="0" w:line="240" w:lineRule="auto"/>
            </w:pPr>
            <w:r>
              <w:rPr>
                <w:sz w:val="15"/>
              </w:rPr>
              <w:t>Псковская область</w:t>
            </w:r>
          </w:p>
        </w:tc>
        <w:tc>
          <w:tcPr>
            <w:tcW w:type="dxa" w:w="2336"/>
          </w:tcPr>
          <w:p>
            <w:pPr>
              <w:spacing w:after="0" w:line="240" w:lineRule="auto"/>
            </w:pPr>
            <w:r>
              <w:rPr>
                <w:sz w:val="15"/>
              </w:rPr>
              <w:t>8,7</w:t>
            </w:r>
          </w:p>
        </w:tc>
        <w:tc>
          <w:tcPr>
            <w:tcW w:type="dxa" w:w="4963"/>
          </w:tcPr>
          <w:p>
            <w:pPr>
              <w:spacing w:after="0" w:line="240" w:lineRule="auto"/>
            </w:pPr>
            <w:r>
              <w:rPr>
                <w:sz w:val="15"/>
              </w:rPr>
              <w:t>0,000 / 1,000</w:t>
            </w:r>
          </w:p>
        </w:tc>
      </w:tr>
      <w:tr>
        <w:tc>
          <w:tcPr>
            <w:tcW w:type="dxa" w:w="3357"/>
          </w:tcPr>
          <w:p>
            <w:pPr>
              <w:spacing w:after="0" w:line="240" w:lineRule="auto"/>
            </w:pPr>
            <w:r>
              <w:rPr>
                <w:sz w:val="15"/>
              </w:rPr>
              <w:t>Калининградская область</w:t>
            </w:r>
          </w:p>
        </w:tc>
        <w:tc>
          <w:tcPr>
            <w:tcW w:type="dxa" w:w="2336"/>
          </w:tcPr>
          <w:p>
            <w:pPr>
              <w:spacing w:after="0" w:line="240" w:lineRule="auto"/>
            </w:pPr>
            <w:r>
              <w:rPr>
                <w:sz w:val="15"/>
              </w:rPr>
              <w:t>38,2</w:t>
            </w:r>
          </w:p>
        </w:tc>
        <w:tc>
          <w:tcPr>
            <w:tcW w:type="dxa" w:w="4963"/>
          </w:tcPr>
          <w:p>
            <w:pPr>
              <w:spacing w:after="0" w:line="240" w:lineRule="auto"/>
            </w:pPr>
            <w:r>
              <w:rPr>
                <w:sz w:val="15"/>
              </w:rPr>
              <w:t>0,000 / 1,000</w:t>
            </w:r>
          </w:p>
        </w:tc>
      </w:tr>
      <w:tr>
        <w:tc>
          <w:tcPr>
            <w:tcW w:type="dxa" w:w="3357"/>
          </w:tcPr>
          <w:p>
            <w:pPr>
              <w:spacing w:after="0" w:line="240" w:lineRule="auto"/>
            </w:pPr>
            <w:r>
              <w:rPr>
                <w:sz w:val="15"/>
              </w:rPr>
              <w:t>Новгородская область</w:t>
            </w:r>
          </w:p>
        </w:tc>
        <w:tc>
          <w:tcPr>
            <w:tcW w:type="dxa" w:w="2336"/>
          </w:tcPr>
          <w:p>
            <w:pPr>
              <w:spacing w:after="0" w:line="240" w:lineRule="auto"/>
            </w:pPr>
            <w:r>
              <w:rPr>
                <w:sz w:val="15"/>
              </w:rPr>
              <w:t>0,7</w:t>
            </w:r>
          </w:p>
        </w:tc>
        <w:tc>
          <w:tcPr>
            <w:tcW w:type="dxa" w:w="4963"/>
          </w:tcPr>
          <w:p>
            <w:pPr>
              <w:spacing w:after="0" w:line="240" w:lineRule="auto"/>
            </w:pPr>
            <w:r>
              <w:rPr>
                <w:sz w:val="15"/>
              </w:rPr>
              <w:t>0,506 / 0,494</w:t>
            </w:r>
          </w:p>
        </w:tc>
      </w:tr>
      <w:tr>
        <w:tc>
          <w:tcPr>
            <w:tcW w:type="dxa" w:w="3357"/>
          </w:tcPr>
          <w:p>
            <w:pPr>
              <w:spacing w:after="0" w:line="240" w:lineRule="auto"/>
            </w:pPr>
            <w:r>
              <w:rPr>
                <w:sz w:val="15"/>
              </w:rPr>
              <w:t>Нью-Йорк</w:t>
            </w:r>
          </w:p>
        </w:tc>
        <w:tc>
          <w:tcPr>
            <w:tcW w:type="dxa" w:w="2336"/>
          </w:tcPr>
          <w:p>
            <w:pPr>
              <w:spacing w:after="0" w:line="240" w:lineRule="auto"/>
            </w:pPr>
            <w:r>
              <w:rPr>
                <w:sz w:val="15"/>
              </w:rPr>
              <w:t>78,3</w:t>
            </w:r>
          </w:p>
        </w:tc>
        <w:tc>
          <w:tcPr>
            <w:tcW w:type="dxa" w:w="4963"/>
          </w:tcPr>
          <w:p>
            <w:pPr>
              <w:spacing w:after="0" w:line="240" w:lineRule="auto"/>
            </w:pPr>
            <w:r>
              <w:rPr>
                <w:sz w:val="15"/>
              </w:rPr>
              <w:t>0,000 / 1,000</w:t>
            </w:r>
          </w:p>
        </w:tc>
      </w:tr>
      <w:tr>
        <w:tc>
          <w:tcPr>
            <w:tcW w:type="dxa" w:w="3357"/>
          </w:tcPr>
          <w:p>
            <w:pPr>
              <w:spacing w:after="0" w:line="240" w:lineRule="auto"/>
            </w:pPr>
            <w:r>
              <w:rPr>
                <w:sz w:val="15"/>
              </w:rPr>
              <w:t>Милан</w:t>
            </w:r>
          </w:p>
        </w:tc>
        <w:tc>
          <w:tcPr>
            <w:tcW w:type="dxa" w:w="2336"/>
          </w:tcPr>
          <w:p>
            <w:pPr>
              <w:spacing w:after="0" w:line="240" w:lineRule="auto"/>
            </w:pPr>
            <w:r>
              <w:rPr>
                <w:sz w:val="15"/>
              </w:rPr>
              <w:t>36,4</w:t>
            </w:r>
          </w:p>
        </w:tc>
        <w:tc>
          <w:tcPr>
            <w:tcW w:type="dxa" w:w="4963"/>
          </w:tcPr>
          <w:p>
            <w:pPr>
              <w:spacing w:after="0" w:line="240" w:lineRule="auto"/>
            </w:pPr>
            <w:r>
              <w:rPr>
                <w:sz w:val="15"/>
              </w:rPr>
              <w:t>0,000 / 1,000</w:t>
            </w:r>
          </w:p>
        </w:tc>
      </w:tr>
      <w:tr>
        <w:tc>
          <w:tcPr>
            <w:tcW w:type="dxa" w:w="3357"/>
          </w:tcPr>
          <w:p>
            <w:pPr>
              <w:spacing w:after="0" w:line="240" w:lineRule="auto"/>
            </w:pPr>
            <w:r>
              <w:rPr>
                <w:sz w:val="15"/>
              </w:rPr>
              <w:t>Дели</w:t>
            </w:r>
          </w:p>
        </w:tc>
        <w:tc>
          <w:tcPr>
            <w:tcW w:type="dxa" w:w="2336"/>
          </w:tcPr>
          <w:p>
            <w:pPr>
              <w:spacing w:after="0" w:line="240" w:lineRule="auto"/>
            </w:pPr>
            <w:r>
              <w:rPr>
                <w:sz w:val="15"/>
              </w:rPr>
              <w:t>0,6</w:t>
            </w:r>
          </w:p>
        </w:tc>
        <w:tc>
          <w:tcPr>
            <w:tcW w:type="dxa" w:w="4963"/>
          </w:tcPr>
          <w:p>
            <w:pPr>
              <w:spacing w:after="0" w:line="240" w:lineRule="auto"/>
            </w:pPr>
            <w:r>
              <w:rPr>
                <w:sz w:val="15"/>
              </w:rPr>
              <w:t>0,544 / 0,456</w:t>
            </w:r>
          </w:p>
        </w:tc>
      </w:tr>
    </w:tbl>
    <w:p/>
    <w:p>
      <w:pPr>
        <w:jc w:val="both"/>
      </w:pPr>
      <w:r>
        <w:t>Из табл. 2 и 3 следуют четыре основных результата.</w:t>
      </w:r>
    </w:p>
    <w:p>
      <w:pPr>
        <w:jc w:val="both"/>
      </w:pPr>
      <w:r>
        <w:rPr>
          <w:i/>
        </w:rPr>
        <w:t>Во-первых</w:t>
      </w:r>
      <w:r>
        <w:t>, оценка α значимо меньше единицы для пяти территорий из семи: Москва (0,413), Нью-Йорк (0,416), Калининградская область (0,387), Милан (0,530) и Псковская область (0,618); во всех случаях 95 %-е доверительные интервалы не содержат единицу (рис. 3). Для этих территорий память является статистически необходимой компонентой модели.</w:t>
      </w:r>
    </w:p>
    <w:p>
      <w:pPr>
        <w:jc w:val="both"/>
      </w:pPr>
      <w:r>
        <w:rPr>
          <w:i/>
        </w:rPr>
        <w:t>Во-вторых</w:t>
      </w:r>
      <w:r>
        <w:t>, выигрыш в качестве описания значителен именно там, где волна наиболее выражена: снижение RMSE составляет 78,3 % для Нью-Йорка, 64,1 % для Москвы, 38,2 % для Калининградской области, 36,4 % для Милана. Разность AIC достигает 469 (Нью-Йорк) и 291 (Москва) в пользу дробной модели, что отвечает весу Акаике, практически равному единице [20].</w:t>
      </w:r>
    </w:p>
    <w:p>
      <w:pPr>
        <w:jc w:val="both"/>
      </w:pPr>
      <w:r>
        <w:rPr>
          <w:i/>
        </w:rPr>
        <w:t>В-третьих</w:t>
      </w:r>
      <w:r>
        <w:t>, для Новгородской области (α = 0,839; ΔAIC = −0,05) и Дели (α = 0,990; ΔAIC = −0,35) выигрыш лежит в пределах статистической погрешности, а веса Акаике близки к 0,5/0,5. Для волны «дельта» в Дели классическая модель оказывается достаточной: её форма близка к экспоненциальному росту с последующим быстрым спадом, что и даёт α ≈ 1. Этот результат принципиален: дробная модель не «выигрывает всегда», а подключается тогда, когда в данных действительно присутствует инерция.</w:t>
      </w:r>
    </w:p>
    <w:p>
      <w:pPr>
        <w:jc w:val="both"/>
      </w:pPr>
      <w:r>
        <w:rPr>
          <w:i/>
        </w:rPr>
        <w:t>В-четвёртых</w:t>
      </w:r>
      <w:r>
        <w:t>, добавление порядка α систематически повышает оценку R₀: для Москвы 1,565 → 2,001, для Нью-Йорка 1,663 → 2,122, для Милана 1,522 → 1,903. Иными словами, классическая модель, вынужденная объяснять спад истощением восприимчивых, занижает репродуктивное число в 1,15–1,30 раза. Именно в этом состоит количественное выражение систематической ошибки, качественно обсуждавшейся во введении.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2605021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3_comparison_moscow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260502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2. Москва: накопленная кривая, суточная кривая и невязки для обеих моделей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3840480" cy="19638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g4_alpha_by_city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840480" cy="19638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sz w:val="18"/>
        </w:rPr>
        <w:t>Рис. 3. Оценки порядка α по территориям с 95 %-ми доверительными интервалами</w:t>
      </w:r>
    </w:p>
    <w:p>
      <w:pPr>
        <w:jc w:val="both"/>
      </w:pPr>
      <w:r>
        <w:rPr>
          <w:b/>
        </w:rPr>
        <w:t>Устойчивость.</w:t>
      </w:r>
      <w:r>
        <w:t xml:space="preserve"> Длительность инфекционного периода τ не является предметом оценивания и задана априорно (τ = 7 сут). Для проверки устойчивости результаты пересчитаны при τ = 5 и τ = 10 сут. Оценки α меняются не более чем на 0,03: например, для Москвы 0,409 / 0,413 / 0,419, для Нью-Йорка 0,411 / 0,416 / 0,421, для Дели 0,998 / 0,990 / 0,981. Вывод о присутствии памяти, таким образом, не зависит от выбора τ; значения R₀ при этом изменяются в соответствии с соотношением (6) (для Москвы 1,873 / 2,001 / 2,162).</w:t>
      </w:r>
    </w:p>
    <w:p>
      <w:pPr>
        <w:jc w:val="both"/>
      </w:pPr>
      <w:r>
        <w:t>Дополнительно проверена устойчивость к выбору наблюдаемой величины: при переходе от накопленной кривой к суточной сглаженной качественный вывод сохраняется, а оценки α смещаются в сторону меньших значений — 0,438 (Москва), 0,430 (Нью-Йорк), 0,343 (Милан), 0,360 (Калининградская область), 0,501 (Псковская область), 0,706 (Новгородская область), 0,660 (Дели). Разность AIC в пользу дробной модели положительна для всех территорий — от +1,2 (Новгородская область) до +205 (Нью-Йорк); при этом для Новгородской области выигрыш остаётся в пределах шума.</w:t>
      </w:r>
    </w:p>
    <w:p>
      <w:pPr>
        <w:pStyle w:val="Heading2"/>
      </w:pPr>
      <w:r>
        <w:t>7. Обсуждение и выводы</w:t>
      </w:r>
    </w:p>
    <w:p>
      <w:pPr>
        <w:jc w:val="both"/>
      </w:pPr>
      <w:r>
        <w:rPr>
          <w:b/>
        </w:rPr>
        <w:t>Интерпретация α.</w:t>
      </w:r>
      <w:r>
        <w:t xml:space="preserve"> Полученные значения α группируются в двух областях: 0,39–0,62 для первых волн 2020 г. в Москве, Нью-Йорке, Милане, Калининградской и Псковской областях и 0,84–0,99 для Новгородской области и волны «дельта» в Дели. Первая группа отвечает волнам, спад которых был затяжным и определялся постепенным изменением поведения и ограничительными мерами; вторая — волнам с быстрым «схлопыванием», форма которых близка к классической. Таким образом, α можно рассматривать как количественную меру инерции популяционного отклика, дополняющую привычные λ и R₀. Важно подчеркнуть, что α не является свойством возбудителя.</w:t>
      </w:r>
    </w:p>
    <w:p>
      <w:pPr>
        <w:jc w:val="both"/>
      </w:pPr>
      <w:r>
        <w:rPr>
          <w:b/>
        </w:rPr>
        <w:t>Ограничения.</w:t>
      </w:r>
      <w:r>
        <w:t xml:space="preserve"> Использованы данные о подтверждённых случаях, зависящие от охвата тестирования; коэффициент регистрации не оценивается, а поглощается эффективной численностью A, границы которой заданы априорно. Эффективная численность A и скорость роста λ в классической модели частично компенсируют друг друга, поэтому доверительные интервалы отдельных параметров следует считать оптимистичными. Рассматривается изолированная волна без учёта повторных заражений, вакцинации и заноса инфекции извне; для волны «дельта» в Дели последнее обстоятельство, по-видимому, существенно. Наконец, доверительные интервалы построены линеаризацией; для параметров на границе области допустимых значений они недооценивают неопределённость, и здесь уместен профильный анализ правдоподобия [22] или бутстрап остатков [21].</w:t>
      </w:r>
    </w:p>
    <w:p>
      <w:pPr>
        <w:jc w:val="both"/>
      </w:pPr>
      <w:r>
        <w:rPr>
          <w:b/>
        </w:rPr>
        <w:t>Практическая значимость.</w:t>
      </w:r>
      <w:r>
        <w:t xml:space="preserve"> Процедура идентификации сводится к минимизации (4) по четырём параметрам и реализуется на стандартной библиотеке; полный расчёт для одной территории занимает секунды. Оценка α даёт дополнительный, устойчивый дескриптор волны, позволяющий содержательно сравнивать территории и периоды, а также прогнозировать затяжной спад там, где α значимо меньше единицы.</w:t>
      </w:r>
    </w:p>
    <w:p>
      <w:pPr>
        <w:jc w:val="both"/>
      </w:pPr>
      <w:r>
        <w:rPr>
          <w:b/>
        </w:rPr>
        <w:t>Выводы.</w:t>
      </w:r>
    </w:p>
    <w:p>
      <w:pPr>
        <w:pStyle w:val="ListNumber"/>
        <w:spacing w:after="40"/>
      </w:pPr>
      <w:r>
        <w:t>Замена обычной производной на производную Капуто порядка α в SIR-модели позволяет описать</w:t>
      </w:r>
      <w:r>
        <w:t xml:space="preserve"> </w:t>
      </w:r>
      <w:r>
        <w:t>форму волны заболеваемости, недоступную классической модели с постоянными коэффициентами:</w:t>
      </w:r>
      <w:r>
        <w:t xml:space="preserve"> </w:t>
      </w:r>
      <w:r>
        <w:t>снижение RMSE достигает 78 % при добавлении всего одного параметра.</w:t>
      </w:r>
    </w:p>
    <w:p>
      <w:pPr>
        <w:pStyle w:val="ListNumber"/>
        <w:spacing w:after="40"/>
      </w:pPr>
      <w:r>
        <w:t>Оценка α значимо меньше единицы для пяти из семи рассмотренных территорий</w:t>
      </w:r>
      <w:r>
        <w:t xml:space="preserve"> </w:t>
      </w:r>
      <w:r>
        <w:t>(0,387 ≤ α ≤ 0,618); для Новгородской области и Дели α статистически неотличим от</w:t>
      </w:r>
      <w:r>
        <w:t xml:space="preserve"> </w:t>
      </w:r>
      <w:r>
        <w:t>единицы, то есть классическая модель там достаточна.</w:t>
      </w:r>
    </w:p>
    <w:p>
      <w:pPr>
        <w:pStyle w:val="ListNumber"/>
        <w:spacing w:after="40"/>
      </w:pPr>
      <w:r>
        <w:t>Классическая SIR-модель систематически занижает репродуктивное число — от 1,15 до</w:t>
      </w:r>
      <w:r>
        <w:t xml:space="preserve"> </w:t>
      </w:r>
      <w:r>
        <w:t>1,30 раза для рассмотренных территорий, — компенсируя этим неспособность воспроизвести</w:t>
      </w:r>
      <w:r>
        <w:t xml:space="preserve"> </w:t>
      </w:r>
      <w:r>
        <w:t>асимметрию волны.</w:t>
      </w:r>
    </w:p>
    <w:p>
      <w:pPr>
        <w:pStyle w:val="ListNumber"/>
        <w:spacing w:after="40"/>
      </w:pPr>
      <w:r>
        <w:t>Параметризация дробной модели через R₀ = 1 + (λτ)</w:t>
      </w:r>
      <w:r>
        <w:rPr>
          <w:vertAlign w:val="superscript"/>
        </w:rPr>
        <w:t>α</w:t>
      </w:r>
      <w:r>
        <w:t xml:space="preserve"> устраняет вырожденность</w:t>
      </w:r>
      <w:r>
        <w:t xml:space="preserve"> </w:t>
      </w:r>
      <w:r>
        <w:t>задачи идентификации и обеспечивает сопоставимость оценок между моделями, территориями и</w:t>
      </w:r>
      <w:r>
        <w:t xml:space="preserve"> </w:t>
      </w:r>
      <w:r>
        <w:t>значениями α.</w:t>
      </w:r>
    </w:p>
    <w:p>
      <w:pPr>
        <w:pStyle w:val="ListNumber"/>
        <w:spacing w:after="40"/>
      </w:pPr>
      <w:r>
        <w:t>Оценки α устойчивы к вариации априорно задаваемой длительности инфекционного периода</w:t>
      </w:r>
      <w:r>
        <w:t xml:space="preserve"> </w:t>
      </w:r>
      <w:r>
        <w:t>(изменение не более 0,03 при τ от 5 до 10 суток), а численная схема L1 подтверждена</w:t>
      </w:r>
      <w:r>
        <w:t xml:space="preserve"> </w:t>
      </w:r>
      <w:r>
        <w:t>сопоставлением с аналитическим решением через функцию Миттаг-Леффлера.</w:t>
      </w:r>
      <w:r>
        <w:t xml:space="preserve"> </w:t>
      </w:r>
      <w:r>
        <w:rPr>
          <w:b/>
        </w:rPr>
        <w:t>Доступность данных и кода.</w:t>
      </w:r>
      <w:r>
        <w:t xml:space="preserve"> Численный эксперимент воспроизводится скриптами </w:t>
      </w:r>
      <w:r>
        <w:rPr>
          <w:rFonts w:ascii="Consolas" w:hAnsi="Consolas"/>
          <w:sz w:val="18"/>
        </w:rPr>
        <w:t>code/python</w:t>
      </w:r>
      <w:r>
        <w:t xml:space="preserve"> </w:t>
      </w:r>
      <w:r>
        <w:t xml:space="preserve">(Python 3.12, </w:t>
      </w:r>
      <w:r>
        <w:rPr>
          <w:rFonts w:ascii="Consolas" w:hAnsi="Consolas"/>
          <w:sz w:val="18"/>
        </w:rPr>
        <w:t>uv</w:t>
      </w:r>
      <w:r>
        <w:t xml:space="preserve">) и </w:t>
      </w:r>
      <w:r>
        <w:rPr>
          <w:rFonts w:ascii="Consolas" w:hAnsi="Consolas"/>
          <w:sz w:val="18"/>
        </w:rPr>
        <w:t>code/julia</w:t>
      </w:r>
      <w:r>
        <w:t xml:space="preserve"> (Julia 1.12, Pluto-блокнот); исходные данные загружаются</w:t>
      </w:r>
      <w:r>
        <w:t xml:space="preserve"> </w:t>
      </w:r>
      <w:r>
        <w:t xml:space="preserve">скриптом </w:t>
      </w:r>
      <w:r>
        <w:rPr>
          <w:rFonts w:ascii="Consolas" w:hAnsi="Consolas"/>
          <w:sz w:val="18"/>
        </w:rPr>
        <w:t>code/fetch_data.js</w:t>
      </w:r>
      <w:r>
        <w:t xml:space="preserve"> и зафиксированы контрольными суммами SHA-256 в</w:t>
      </w:r>
      <w:r>
        <w:t xml:space="preserve"> </w:t>
      </w:r>
      <w:r>
        <w:rPr>
          <w:rFonts w:ascii="Consolas" w:hAnsi="Consolas"/>
          <w:sz w:val="18"/>
        </w:rPr>
        <w:t>data/manifest.json</w:t>
      </w:r>
      <w:r>
        <w:t>. Обе реализации дают совпадающие результаты с относительным</w:t>
      </w:r>
      <w:r>
        <w:t xml:space="preserve"> </w:t>
      </w:r>
      <w:r>
        <w:t>расхождением ~10</w:t>
      </w:r>
      <w:r>
        <w:rPr>
          <w:vertAlign w:val="superscript"/>
        </w:rPr>
        <w:t>−12</w:t>
      </w:r>
      <w:r>
        <w:t>. Список литературы приведён отдельным файлом.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40" w:lineRule="auto"/>
    </w:pPr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00" w:after="80" w:line="240" w:lineRule="auto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 w:line="240" w:lineRule="auto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40" w:line="240" w:lineRule="auto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