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2563EB"/>
          <w:sz w:val="26"/>
        </w:rPr>
        <w:t>INVESTIGACIÓN DE OPERACIONES | PROGRAMACIÓN LINEAL</w:t>
      </w:r>
    </w:p>
    <w:p>
      <w:pPr>
        <w:spacing w:before="240" w:after="360"/>
        <w:jc w:val="center"/>
      </w:pPr>
      <w:r>
        <w:rPr>
          <w:rFonts w:ascii="Arial" w:hAnsi="Arial"/>
          <w:b/>
          <w:color w:val="0F172A"/>
          <w:sz w:val="48"/>
        </w:rPr>
        <w:t>MANUAL Y DOCUMENTACIÓN TÉCNICA DEL SISTEMA SOLVER IO</w:t>
      </w:r>
    </w:p>
    <w:p>
      <w:pPr>
        <w:spacing w:before="0" w:after="800"/>
        <w:jc w:val="center"/>
      </w:pPr>
      <w:r>
        <w:rPr>
          <w:rFonts w:ascii="Arial" w:hAnsi="Arial"/>
          <w:i/>
          <w:color w:val="475569"/>
          <w:sz w:val="24"/>
        </w:rPr>
        <w:t>Resolución Paso a Paso de Modelos de Optimización Lineal:</w:t>
        <w:br/>
        <w:t>Método Gráfico 2D, Simplex Estándar, Método de la Gran M y Método de Dos Fases con Aritmética de Fracciones Exactas</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fill="F1F5F9"/>
          </w:tcPr>
          <w:p>
            <w:r>
              <w:rPr>
                <w:b/>
                <w:color w:val="1E3A8A"/>
                <w:sz w:val="20"/>
              </w:rPr>
              <w:t>Materia:</w:t>
            </w:r>
          </w:p>
        </w:tc>
        <w:tc>
          <w:tcPr>
            <w:tcW w:type="dxa" w:w="6192"/>
            <w:tcMar>
              <w:top w:w="60" w:type="dxa"/>
              <w:bottom w:w="60" w:type="dxa"/>
              <w:left w:w="100" w:type="dxa"/>
              <w:right w:w="100" w:type="dxa"/>
            </w:tcMar>
            <w:shd w:fill="F8FAFC"/>
          </w:tcPr>
          <w:p>
            <w:r>
              <w:rPr>
                <w:color w:val="1F2937"/>
                <w:sz w:val="20"/>
              </w:rPr>
              <w:t>Investigación de Operaciones / Programación Lineal</w:t>
            </w:r>
          </w:p>
        </w:tc>
      </w:tr>
      <w:tr>
        <w:tc>
          <w:tcPr>
            <w:tcW w:type="dxa" w:w="3168"/>
            <w:tcMar>
              <w:top w:w="60" w:type="dxa"/>
              <w:bottom w:w="60" w:type="dxa"/>
              <w:left w:w="100" w:type="dxa"/>
              <w:right w:w="100" w:type="dxa"/>
            </w:tcMar>
            <w:shd w:fill="F1F5F9"/>
          </w:tcPr>
          <w:p>
            <w:r>
              <w:rPr>
                <w:b/>
                <w:color w:val="1E3A8A"/>
                <w:sz w:val="20"/>
              </w:rPr>
              <w:t>Tipo de Proyecto:</w:t>
            </w:r>
          </w:p>
        </w:tc>
        <w:tc>
          <w:tcPr>
            <w:tcW w:type="dxa" w:w="6192"/>
            <w:tcMar>
              <w:top w:w="60" w:type="dxa"/>
              <w:bottom w:w="60" w:type="dxa"/>
              <w:left w:w="100" w:type="dxa"/>
              <w:right w:w="100" w:type="dxa"/>
            </w:tcMar>
            <w:shd w:fill="F8FAFC"/>
          </w:tcPr>
          <w:p>
            <w:r>
              <w:rPr>
                <w:color w:val="1F2937"/>
                <w:sz w:val="20"/>
              </w:rPr>
              <w:t>Software Educativo y Motor Matemático Interactivo</w:t>
            </w:r>
          </w:p>
        </w:tc>
      </w:tr>
      <w:tr>
        <w:tc>
          <w:tcPr>
            <w:tcW w:type="dxa" w:w="3168"/>
            <w:tcMar>
              <w:top w:w="60" w:type="dxa"/>
              <w:bottom w:w="60" w:type="dxa"/>
              <w:left w:w="100" w:type="dxa"/>
              <w:right w:w="100" w:type="dxa"/>
            </w:tcMar>
            <w:shd w:fill="F1F5F9"/>
          </w:tcPr>
          <w:p>
            <w:r>
              <w:rPr>
                <w:b/>
                <w:color w:val="1E3A8A"/>
                <w:sz w:val="20"/>
              </w:rPr>
              <w:t>Tecnologías Principales:</w:t>
            </w:r>
          </w:p>
        </w:tc>
        <w:tc>
          <w:tcPr>
            <w:tcW w:type="dxa" w:w="6192"/>
            <w:tcMar>
              <w:top w:w="60" w:type="dxa"/>
              <w:bottom w:w="60" w:type="dxa"/>
              <w:left w:w="100" w:type="dxa"/>
              <w:right w:w="100" w:type="dxa"/>
            </w:tcMar>
            <w:shd w:fill="F8FAFC"/>
          </w:tcPr>
          <w:p>
            <w:r>
              <w:rPr>
                <w:color w:val="1F2937"/>
                <w:sz w:val="20"/>
              </w:rPr>
              <w:t>React 19, TypeScript, Tailwind CSS v4, KaTeX, BigInt</w:t>
            </w:r>
          </w:p>
        </w:tc>
      </w:tr>
      <w:tr>
        <w:tc>
          <w:tcPr>
            <w:tcW w:type="dxa" w:w="3168"/>
            <w:tcMar>
              <w:top w:w="60" w:type="dxa"/>
              <w:bottom w:w="60" w:type="dxa"/>
              <w:left w:w="100" w:type="dxa"/>
              <w:right w:w="100" w:type="dxa"/>
            </w:tcMar>
            <w:shd w:fill="F1F5F9"/>
          </w:tcPr>
          <w:p>
            <w:r>
              <w:rPr>
                <w:b/>
                <w:color w:val="1E3A8A"/>
                <w:sz w:val="20"/>
              </w:rPr>
              <w:t>Arquitectura y Patrones:</w:t>
            </w:r>
          </w:p>
        </w:tc>
        <w:tc>
          <w:tcPr>
            <w:tcW w:type="dxa" w:w="6192"/>
            <w:tcMar>
              <w:top w:w="60" w:type="dxa"/>
              <w:bottom w:w="60" w:type="dxa"/>
              <w:left w:w="100" w:type="dxa"/>
              <w:right w:w="100" w:type="dxa"/>
            </w:tcMar>
            <w:shd w:fill="F8FAFC"/>
          </w:tcPr>
          <w:p>
            <w:r>
              <w:rPr>
                <w:color w:val="1F2937"/>
                <w:sz w:val="20"/>
              </w:rPr>
              <w:t>MVC (Modelo-Vista-Controlador), Strategy, Value Object, Facade, Parser</w:t>
            </w:r>
          </w:p>
        </w:tc>
      </w:tr>
    </w:tbl>
    <w:p>
      <w:r>
        <w:br w:type="page"/>
      </w:r>
    </w:p>
    <w:p>
      <w:pPr>
        <w:pStyle w:val="Heading1"/>
      </w:pPr>
      <w:r>
        <w:rPr>
          <w:color w:val="0F172A"/>
        </w:rPr>
        <w:t>Índice General del Documento</w:t>
      </w:r>
    </w:p>
    <w:p>
      <w:pPr>
        <w:spacing w:before="40" w:after="40"/>
      </w:pPr>
      <w:r>
        <w:rPr>
          <w:b/>
          <w:color w:val="1E3A8A"/>
          <w:sz w:val="21"/>
        </w:rPr>
        <w:t>1. Introducción y Justificación del Proyecto</w:t>
      </w:r>
    </w:p>
    <w:p>
      <w:pPr>
        <w:spacing w:before="40" w:after="40"/>
      </w:pPr>
      <w:r>
        <w:rPr>
          <w:b/>
          <w:color w:val="1E3A8A"/>
          <w:sz w:val="21"/>
        </w:rPr>
        <w:t>2. Glosario Didáctico Integral: De lo Simple a lo Técnico</w:t>
      </w:r>
    </w:p>
    <w:p>
      <w:pPr>
        <w:spacing w:before="40" w:after="40"/>
      </w:pPr>
      <w:r>
        <w:rPr>
          <w:b/>
          <w:color w:val="1E3A8A"/>
          <w:sz w:val="21"/>
        </w:rPr>
        <w:t>3. Fundamentos Matemáticos y Algorítmicos</w:t>
      </w:r>
    </w:p>
    <w:p>
      <w:pPr>
        <w:spacing w:before="40" w:after="40"/>
        <w:ind w:left="576"/>
      </w:pPr>
      <w:r>
        <w:rPr>
          <w:color w:val="475569"/>
          <w:sz w:val="21"/>
        </w:rPr>
        <w:t xml:space="preserve">   3.1. Método Gráfico Bidimensional</w:t>
      </w:r>
    </w:p>
    <w:p>
      <w:pPr>
        <w:spacing w:before="40" w:after="40"/>
        <w:ind w:left="576"/>
      </w:pPr>
      <w:r>
        <w:rPr>
          <w:color w:val="475569"/>
          <w:sz w:val="21"/>
        </w:rPr>
        <w:t xml:space="preserve">   3.2. Método Simplex Estándar</w:t>
      </w:r>
    </w:p>
    <w:p>
      <w:pPr>
        <w:spacing w:before="40" w:after="40"/>
        <w:ind w:left="576"/>
      </w:pPr>
      <w:r>
        <w:rPr>
          <w:color w:val="475569"/>
          <w:sz w:val="21"/>
        </w:rPr>
        <w:t xml:space="preserve">   3.3. Método de la Gran M (Penalización Simbólica)</w:t>
      </w:r>
    </w:p>
    <w:p>
      <w:pPr>
        <w:spacing w:before="40" w:after="40"/>
        <w:ind w:left="576"/>
      </w:pPr>
      <w:r>
        <w:rPr>
          <w:color w:val="475569"/>
          <w:sz w:val="21"/>
        </w:rPr>
        <w:t xml:space="preserve">   3.4. Método de las Dos Fases</w:t>
      </w:r>
    </w:p>
    <w:p>
      <w:pPr>
        <w:spacing w:before="40" w:after="40"/>
        <w:ind w:left="576"/>
      </w:pPr>
      <w:r>
        <w:rPr>
          <w:color w:val="475569"/>
          <w:sz w:val="21"/>
        </w:rPr>
        <w:t xml:space="preserve">   3.5. Aritmética de Fracciones Exactas sin Pérdida Decimal</w:t>
      </w:r>
    </w:p>
    <w:p>
      <w:pPr>
        <w:spacing w:before="40" w:after="40"/>
      </w:pPr>
      <w:r>
        <w:rPr>
          <w:b/>
          <w:color w:val="1E3A8A"/>
          <w:sz w:val="21"/>
        </w:rPr>
        <w:t>4. Casos Especiales de la Programación Lineal</w:t>
      </w:r>
    </w:p>
    <w:p>
      <w:pPr>
        <w:spacing w:before="40" w:after="40"/>
      </w:pPr>
      <w:r>
        <w:rPr>
          <w:b/>
          <w:color w:val="1E3A8A"/>
          <w:sz w:val="21"/>
        </w:rPr>
        <w:t>5. Arquitectura del Sistema y Patrones de Diseño (MVC, Strategy, etc.)</w:t>
      </w:r>
    </w:p>
    <w:p>
      <w:pPr>
        <w:spacing w:before="40" w:after="40"/>
      </w:pPr>
      <w:r>
        <w:rPr>
          <w:b/>
          <w:color w:val="1E3A8A"/>
          <w:sz w:val="21"/>
        </w:rPr>
        <w:t>6. Estructura y Desglose Modular del Código Fuente</w:t>
      </w:r>
    </w:p>
    <w:p>
      <w:pPr>
        <w:spacing w:before="40" w:after="40"/>
      </w:pPr>
      <w:r>
        <w:rPr>
          <w:b/>
          <w:color w:val="1E3A8A"/>
          <w:sz w:val="21"/>
        </w:rPr>
        <w:t>7. Catálogo de Casos de Estudio y Ejemplos Resueltos</w:t>
      </w:r>
    </w:p>
    <w:p>
      <w:pPr>
        <w:spacing w:before="40" w:after="40"/>
      </w:pPr>
      <w:r>
        <w:rPr>
          <w:b/>
          <w:color w:val="1E3A8A"/>
          <w:sz w:val="21"/>
        </w:rPr>
        <w:t>8. Guía de Instalación, Uso y Exportación Académica</w:t>
      </w:r>
    </w:p>
    <w:p>
      <w:pPr>
        <w:spacing w:after="360"/>
      </w:pPr>
    </w:p>
    <w:p>
      <w:pPr>
        <w:pStyle w:val="Heading1"/>
      </w:pPr>
      <w:r>
        <w:rPr>
          <w:color w:val="0F172A"/>
        </w:rPr>
        <w:t>1. Introducción y Justificación del Proyecto</w:t>
      </w:r>
    </w:p>
    <w:p>
      <w:r>
        <w:t xml:space="preserve">En la toma de decisiones empresariales e industriales, los recursos (presupuesto, materias primas, tiempo de producción, mano de obra) son intrínsecamente limitados. La </w:t>
      </w:r>
      <w:r>
        <w:rPr>
          <w:b/>
        </w:rPr>
        <w:t>Investigación de Operaciones (IO)</w:t>
      </w:r>
      <w:r>
        <w:t xml:space="preserve"> es la disciplina científica y matemática dedicada a encontrar la asignación óptima de estos recursos escasos para lograr un objetivo primordial: maximizar beneficios (utilidades, producción, rendimiento) o minimizar costos (desperdicio, tiempo, inversión).</w:t>
      </w:r>
    </w:p>
    <w:p>
      <w:r>
        <w:t xml:space="preserve">Dentro de la IO, la </w:t>
      </w:r>
      <w:r>
        <w:rPr>
          <w:b/>
        </w:rPr>
        <w:t>Programación Lineal (PL)</w:t>
      </w:r>
      <w:r>
        <w:t xml:space="preserve"> constituye la rama más influyente y ampliamente aplicada. Sin embargo, en el ámbito académico y formativo, los estudiantes se enfrentan a un desafío recurrente: las calculadoras y software comerciales tradicionales (como Excel Solver o herramientas numéricas de punto flotante) arrojan directamente el resultado final sin explicar la secuencia pedagógica de pasos, o introducen errores acumulativos de redondeo decimal (por ejemplo, mostrando 0.33333333 en lugar de 1/3), lo que dificulta validar matrices intermedias de Gauss-Jordan o comprender la dinámica geométrica del espacio de soluciones.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before="40" w:after="80"/>
            </w:pPr>
            <w:r>
              <w:rPr>
                <w:b/>
                <w:color w:val="1E3A8A"/>
                <w:sz w:val="21"/>
              </w:rPr>
              <w:t xml:space="preserve">📌 PROPÓSITO CENTRAL DE SOLVER IO: </w:t>
            </w:r>
          </w:p>
          <w:p>
            <w:pPr>
              <w:spacing w:before="40" w:after="60"/>
            </w:pPr>
            <w:r>
              <w:rPr>
                <w:color w:val="1F2937"/>
                <w:sz w:val="20"/>
              </w:rPr>
              <w:t>El sistema 'Solver IO' fue concebido específicamente para resolver esta problemática académica:</w:t>
            </w:r>
          </w:p>
          <w:p>
            <w:pPr>
              <w:spacing w:before="40" w:after="60"/>
            </w:pPr>
            <w:r>
              <w:rPr>
                <w:color w:val="1F2937"/>
                <w:sz w:val="20"/>
              </w:rPr>
              <w:t>1. Demostración Matemática Completa: Genera explicaciones detalladas paso a paso con fórmulas tipográficas en LaTeX (KaTeX).</w:t>
            </w:r>
          </w:p>
          <w:p>
            <w:pPr>
              <w:spacing w:before="40" w:after="60"/>
            </w:pPr>
            <w:r>
              <w:rPr>
                <w:color w:val="1F2937"/>
                <w:sz w:val="20"/>
              </w:rPr>
              <w:t>2. Precisión Racional Absoluta: Utiliza aritmética fraccionaria exacta (a/b) basada en enteros de precisión arbitraria (BigInt), erradicando cualquier error de coma flotante.</w:t>
            </w:r>
          </w:p>
          <w:p>
            <w:pPr>
              <w:spacing w:before="40" w:after="60"/>
            </w:pPr>
            <w:r>
              <w:rPr>
                <w:color w:val="1F2937"/>
                <w:sz w:val="20"/>
              </w:rPr>
              <w:t>3. Flexibilidad Total de Algoritmos: Resuelve problemas bidimensionales mediante el Método Gráfico interactivo y modelos de n dimensiones mediante Simplex Estándar, Método de la Gran M y Método de Dos Fases.</w:t>
            </w:r>
          </w:p>
          <w:p>
            <w:pPr>
              <w:spacing w:before="40" w:after="60"/>
            </w:pPr>
            <w:r>
              <w:rPr>
                <w:color w:val="1F2937"/>
                <w:sz w:val="20"/>
              </w:rPr>
              <w:t>4. Soporte para Casos Especiales: Diagnostica automáticamente problemas degenerados, infinitas soluciones óptimas, regiones no acotadas e infactibilidad.</w:t>
            </w:r>
          </w:p>
        </w:tc>
      </w:tr>
    </w:tbl>
    <w:p>
      <w:pPr>
        <w:spacing w:before="80" w:after="120"/>
      </w:pPr>
    </w:p>
    <w:p>
      <w:pPr>
        <w:pStyle w:val="Heading1"/>
      </w:pPr>
      <w:r>
        <w:rPr>
          <w:color w:val="0F172A"/>
        </w:rPr>
        <w:t>2. Glosario Didáctico: De lo Simple a lo Técnico</w:t>
      </w:r>
    </w:p>
    <w:p>
      <w:r>
        <w:t>Para facilitar la asimilación tanto de los conceptos prácticos cotidianos como de la rigurosa terminología matemática utilizada en los exámenes y defensas de proyectos, la siguiente tabla desglosa cada concepto clave en dos niveles: una explicación coloquial intuitiva y su definición formal en Investigación de Operaciones.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tcMar>
              <w:top w:w="100" w:type="dxa"/>
              <w:bottom w:w="100" w:type="dxa"/>
              <w:left w:w="150" w:type="dxa"/>
              <w:right w:w="150" w:type="dxa"/>
            </w:tcMar>
            <w:shd w:fill="1E3A8A"/>
          </w:tcPr>
          <w:p>
            <w:pPr>
              <w:spacing w:before="60" w:after="60"/>
            </w:pPr>
            <w:r>
              <w:rPr>
                <w:b/>
                <w:color w:val="FFFFFF"/>
                <w:sz w:val="19"/>
              </w:rPr>
              <w:t>Término / Concepto</w:t>
            </w:r>
          </w:p>
        </w:tc>
        <w:tc>
          <w:tcPr>
            <w:tcW w:type="dxa" w:w="3600"/>
            <w:tcMar>
              <w:top w:w="100" w:type="dxa"/>
              <w:bottom w:w="100" w:type="dxa"/>
              <w:left w:w="150" w:type="dxa"/>
              <w:right w:w="150" w:type="dxa"/>
            </w:tcMar>
            <w:shd w:fill="1E3A8A"/>
          </w:tcPr>
          <w:p>
            <w:pPr>
              <w:spacing w:before="60" w:after="60"/>
            </w:pPr>
            <w:r>
              <w:rPr>
                <w:b/>
                <w:color w:val="FFFFFF"/>
                <w:sz w:val="19"/>
              </w:rPr>
              <w:t>Explicación Simple (Analogía Cotidiana)</w:t>
            </w:r>
          </w:p>
        </w:tc>
        <w:tc>
          <w:tcPr>
            <w:tcW w:type="dxa" w:w="3600"/>
            <w:tcMar>
              <w:top w:w="100" w:type="dxa"/>
              <w:bottom w:w="100" w:type="dxa"/>
              <w:left w:w="150" w:type="dxa"/>
              <w:right w:w="150" w:type="dxa"/>
            </w:tcMar>
            <w:shd w:fill="1E3A8A"/>
          </w:tcPr>
          <w:p>
            <w:pPr>
              <w:spacing w:before="60" w:after="60"/>
            </w:pPr>
            <w:r>
              <w:rPr>
                <w:b/>
                <w:color w:val="FFFFFF"/>
                <w:sz w:val="19"/>
              </w:rPr>
              <w:t>Definición Formal en Investigación de Operaciones</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Función Objetivo (Z)</w:t>
            </w:r>
          </w:p>
        </w:tc>
        <w:tc>
          <w:tcPr>
            <w:tcW w:type="dxa" w:w="3600"/>
            <w:tcMar>
              <w:top w:w="100" w:type="dxa"/>
              <w:bottom w:w="100" w:type="dxa"/>
              <w:left w:w="150" w:type="dxa"/>
              <w:right w:w="150" w:type="dxa"/>
            </w:tcMar>
            <w:shd w:fill="FFFFFF"/>
          </w:tcPr>
          <w:p>
            <w:pPr>
              <w:spacing w:before="40" w:after="40"/>
            </w:pPr>
            <w:r>
              <w:rPr>
                <w:color w:val="1F2937"/>
                <w:sz w:val="19"/>
              </w:rPr>
              <w:t>Es la meta que se quiere alcanzar: el dinero que quieres ganar (maximizar) o los gastos que quieres reducir (minimizar).</w:t>
            </w:r>
          </w:p>
        </w:tc>
        <w:tc>
          <w:tcPr>
            <w:tcW w:type="dxa" w:w="3600"/>
            <w:tcMar>
              <w:top w:w="100" w:type="dxa"/>
              <w:bottom w:w="100" w:type="dxa"/>
              <w:left w:w="150" w:type="dxa"/>
              <w:right w:w="150" w:type="dxa"/>
            </w:tcMar>
            <w:shd w:fill="FFFFFF"/>
          </w:tcPr>
          <w:p>
            <w:pPr>
              <w:spacing w:before="40" w:after="40"/>
            </w:pPr>
            <w:r>
              <w:rPr>
                <w:color w:val="1F2937"/>
                <w:sz w:val="19"/>
              </w:rPr>
              <w:t>Expresión matemática lineal Z = c1*x1 + c2*x2 + ... + cn*xn que cuantifica el rendimiento global del sistema sujeto a optimización.</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Variables de Decisión (x1, x2, ...)</w:t>
            </w:r>
          </w:p>
        </w:tc>
        <w:tc>
          <w:tcPr>
            <w:tcW w:type="dxa" w:w="3600"/>
            <w:tcMar>
              <w:top w:w="100" w:type="dxa"/>
              <w:bottom w:w="100" w:type="dxa"/>
              <w:left w:w="150" w:type="dxa"/>
              <w:right w:w="150" w:type="dxa"/>
            </w:tcMar>
            <w:shd w:fill="F8FAFC"/>
          </w:tcPr>
          <w:p>
            <w:pPr>
              <w:spacing w:before="40" w:after="40"/>
            </w:pPr>
            <w:r>
              <w:rPr>
                <w:color w:val="1F2937"/>
                <w:sz w:val="19"/>
              </w:rPr>
              <w:t>Son las preguntas que debes responder: ¿Cuántas mesas (x1) y cuántas sillas (x2) debo fabricar esta semana?</w:t>
            </w:r>
          </w:p>
        </w:tc>
        <w:tc>
          <w:tcPr>
            <w:tcW w:type="dxa" w:w="3600"/>
            <w:tcMar>
              <w:top w:w="100" w:type="dxa"/>
              <w:bottom w:w="100" w:type="dxa"/>
              <w:left w:w="150" w:type="dxa"/>
              <w:right w:w="150" w:type="dxa"/>
            </w:tcMar>
            <w:shd w:fill="F8FAFC"/>
          </w:tcPr>
          <w:p>
            <w:pPr>
              <w:spacing w:before="40" w:after="40"/>
            </w:pPr>
            <w:r>
              <w:rPr>
                <w:color w:val="1F2937"/>
                <w:sz w:val="19"/>
              </w:rPr>
              <w:t>Incógnitas del modelo xj cuyos valores numéricos deben determinarse para optimizar la función objetivo respetando el conjunto de restricciones.</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Restricciones Lineales</w:t>
            </w:r>
          </w:p>
        </w:tc>
        <w:tc>
          <w:tcPr>
            <w:tcW w:type="dxa" w:w="3600"/>
            <w:tcMar>
              <w:top w:w="100" w:type="dxa"/>
              <w:bottom w:w="100" w:type="dxa"/>
              <w:left w:w="150" w:type="dxa"/>
              <w:right w:w="150" w:type="dxa"/>
            </w:tcMar>
            <w:shd w:fill="FFFFFF"/>
          </w:tcPr>
          <w:p>
            <w:pPr>
              <w:spacing w:before="40" w:after="40"/>
            </w:pPr>
            <w:r>
              <w:rPr>
                <w:color w:val="1F2937"/>
                <w:sz w:val="19"/>
              </w:rPr>
              <w:t>Son las reglas del juego y los límites de la vida real: 'Solo tengo 20 horas de carpintería y 50 tablones de madera'.</w:t>
            </w:r>
          </w:p>
        </w:tc>
        <w:tc>
          <w:tcPr>
            <w:tcW w:type="dxa" w:w="3600"/>
            <w:tcMar>
              <w:top w:w="100" w:type="dxa"/>
              <w:bottom w:w="100" w:type="dxa"/>
              <w:left w:w="150" w:type="dxa"/>
              <w:right w:w="150" w:type="dxa"/>
            </w:tcMar>
            <w:shd w:fill="FFFFFF"/>
          </w:tcPr>
          <w:p>
            <w:pPr>
              <w:spacing w:before="40" w:after="40"/>
            </w:pPr>
            <w:r>
              <w:rPr>
                <w:color w:val="1F2937"/>
                <w:sz w:val="19"/>
              </w:rPr>
              <w:t>Inecuaciones o ecuaciones lineales (sum(aij * xj) &lt;=, &gt;= o = bi) que delimitan el consumo de recursos o requerimientos mínimos obligatorios.</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No Negatividad (xj &gt;= 0)</w:t>
            </w:r>
          </w:p>
        </w:tc>
        <w:tc>
          <w:tcPr>
            <w:tcW w:type="dxa" w:w="3600"/>
            <w:tcMar>
              <w:top w:w="100" w:type="dxa"/>
              <w:bottom w:w="100" w:type="dxa"/>
              <w:left w:w="150" w:type="dxa"/>
              <w:right w:w="150" w:type="dxa"/>
            </w:tcMar>
            <w:shd w:fill="F8FAFC"/>
          </w:tcPr>
          <w:p>
            <w:pPr>
              <w:spacing w:before="40" w:after="40"/>
            </w:pPr>
            <w:r>
              <w:rPr>
                <w:color w:val="1F2937"/>
                <w:sz w:val="19"/>
              </w:rPr>
              <w:t>Sentido común físico: no puedes fabricar -5 mesas ni contratar -3 horas de transporte.</w:t>
            </w:r>
          </w:p>
        </w:tc>
        <w:tc>
          <w:tcPr>
            <w:tcW w:type="dxa" w:w="3600"/>
            <w:tcMar>
              <w:top w:w="100" w:type="dxa"/>
              <w:bottom w:w="100" w:type="dxa"/>
              <w:left w:w="150" w:type="dxa"/>
              <w:right w:w="150" w:type="dxa"/>
            </w:tcMar>
            <w:shd w:fill="F8FAFC"/>
          </w:tcPr>
          <w:p>
            <w:pPr>
              <w:spacing w:before="40" w:after="40"/>
            </w:pPr>
            <w:r>
              <w:rPr>
                <w:color w:val="1F2937"/>
                <w:sz w:val="19"/>
              </w:rPr>
              <w:t>Condición axiomática que restringe el dominio de las variables de decisión al cuadrante (u ortante) positivo del espacio euclidiano R^n.</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Región Factible</w:t>
            </w:r>
          </w:p>
        </w:tc>
        <w:tc>
          <w:tcPr>
            <w:tcW w:type="dxa" w:w="3600"/>
            <w:tcMar>
              <w:top w:w="100" w:type="dxa"/>
              <w:bottom w:w="100" w:type="dxa"/>
              <w:left w:w="150" w:type="dxa"/>
              <w:right w:w="150" w:type="dxa"/>
            </w:tcMar>
            <w:shd w:fill="FFFFFF"/>
          </w:tcPr>
          <w:p>
            <w:pPr>
              <w:spacing w:before="40" w:after="40"/>
            </w:pPr>
            <w:r>
              <w:rPr>
                <w:color w:val="1F2937"/>
                <w:sz w:val="19"/>
              </w:rPr>
              <w:t>Es el 'área permitida': el conjunto de todas las combinaciones posibles que no rompen ninguna regla.</w:t>
            </w:r>
          </w:p>
        </w:tc>
        <w:tc>
          <w:tcPr>
            <w:tcW w:type="dxa" w:w="3600"/>
            <w:tcMar>
              <w:top w:w="100" w:type="dxa"/>
              <w:bottom w:w="100" w:type="dxa"/>
              <w:left w:w="150" w:type="dxa"/>
              <w:right w:w="150" w:type="dxa"/>
            </w:tcMar>
            <w:shd w:fill="FFFFFF"/>
          </w:tcPr>
          <w:p>
            <w:pPr>
              <w:spacing w:before="40" w:after="40"/>
            </w:pPr>
            <w:r>
              <w:rPr>
                <w:color w:val="1F2937"/>
                <w:sz w:val="19"/>
              </w:rPr>
              <w:t>Polítopo o poliedro convexo formado por la intersección de los semiespacios cerrados determinados por las restricciones del modelo y la no negatividad.</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Puntos Extremos (Vértices)</w:t>
            </w:r>
          </w:p>
        </w:tc>
        <w:tc>
          <w:tcPr>
            <w:tcW w:type="dxa" w:w="3600"/>
            <w:tcMar>
              <w:top w:w="100" w:type="dxa"/>
              <w:bottom w:w="100" w:type="dxa"/>
              <w:left w:w="150" w:type="dxa"/>
              <w:right w:w="150" w:type="dxa"/>
            </w:tcMar>
            <w:shd w:fill="F8FAFC"/>
          </w:tcPr>
          <w:p>
            <w:pPr>
              <w:spacing w:before="40" w:after="40"/>
            </w:pPr>
            <w:r>
              <w:rPr>
                <w:color w:val="1F2937"/>
                <w:sz w:val="19"/>
              </w:rPr>
              <w:t>Son las esquinas de la zona permitida. La matemática demuestra que la mejor solución siempre estará en una de estas esquinas.</w:t>
            </w:r>
          </w:p>
        </w:tc>
        <w:tc>
          <w:tcPr>
            <w:tcW w:type="dxa" w:w="3600"/>
            <w:tcMar>
              <w:top w:w="100" w:type="dxa"/>
              <w:bottom w:w="100" w:type="dxa"/>
              <w:left w:w="150" w:type="dxa"/>
              <w:right w:w="150" w:type="dxa"/>
            </w:tcMar>
            <w:shd w:fill="F8FAFC"/>
          </w:tcPr>
          <w:p>
            <w:pPr>
              <w:spacing w:before="40" w:after="40"/>
            </w:pPr>
            <w:r>
              <w:rPr>
                <w:color w:val="1F2937"/>
                <w:sz w:val="19"/>
              </w:rPr>
              <w:t>Puntos frontera del conjunto convexo que no pueden expresarse como combinación convexa estricta de otros dos puntos distintos de la región factible.</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Variable de Holgura (si)</w:t>
            </w:r>
          </w:p>
        </w:tc>
        <w:tc>
          <w:tcPr>
            <w:tcW w:type="dxa" w:w="3600"/>
            <w:tcMar>
              <w:top w:w="100" w:type="dxa"/>
              <w:bottom w:w="100" w:type="dxa"/>
              <w:left w:w="150" w:type="dxa"/>
              <w:right w:w="150" w:type="dxa"/>
            </w:tcMar>
            <w:shd w:fill="FFFFFF"/>
          </w:tcPr>
          <w:p>
            <w:pPr>
              <w:spacing w:before="40" w:after="40"/>
            </w:pPr>
            <w:r>
              <w:rPr>
                <w:color w:val="1F2937"/>
                <w:sz w:val="19"/>
              </w:rPr>
              <w:t>Es lo que te sobra de un recurso: si tenías 100 horas y usaste 80, la holgura vale 20.</w:t>
            </w:r>
          </w:p>
        </w:tc>
        <w:tc>
          <w:tcPr>
            <w:tcW w:type="dxa" w:w="3600"/>
            <w:tcMar>
              <w:top w:w="100" w:type="dxa"/>
              <w:bottom w:w="100" w:type="dxa"/>
              <w:left w:w="150" w:type="dxa"/>
              <w:right w:w="150" w:type="dxa"/>
            </w:tcMar>
            <w:shd w:fill="FFFFFF"/>
          </w:tcPr>
          <w:p>
            <w:pPr>
              <w:spacing w:before="40" w:after="40"/>
            </w:pPr>
            <w:r>
              <w:rPr>
                <w:color w:val="1F2937"/>
                <w:sz w:val="19"/>
              </w:rPr>
              <w:t>Variable no negativa si &gt;= 0 introducida en restricciones de tipo '&lt;=' para convertirlas en igualdades en la forma canónica: sum(aij*xj) + si = bi.</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Variable de Exceso (ei)</w:t>
            </w:r>
          </w:p>
        </w:tc>
        <w:tc>
          <w:tcPr>
            <w:tcW w:type="dxa" w:w="3600"/>
            <w:tcMar>
              <w:top w:w="100" w:type="dxa"/>
              <w:bottom w:w="100" w:type="dxa"/>
              <w:left w:w="150" w:type="dxa"/>
              <w:right w:w="150" w:type="dxa"/>
            </w:tcMar>
            <w:shd w:fill="F8FAFC"/>
          </w:tcPr>
          <w:p>
            <w:pPr>
              <w:spacing w:before="40" w:after="40"/>
            </w:pPr>
            <w:r>
              <w:rPr>
                <w:color w:val="1F2937"/>
                <w:sz w:val="19"/>
              </w:rPr>
              <w:t>Es lo que te pasas por encima del mínimo exigido: si debías consumir al menos 50 gramos de proteína y consumiste 65, el exceso vale 15.</w:t>
            </w:r>
          </w:p>
        </w:tc>
        <w:tc>
          <w:tcPr>
            <w:tcW w:type="dxa" w:w="3600"/>
            <w:tcMar>
              <w:top w:w="100" w:type="dxa"/>
              <w:bottom w:w="100" w:type="dxa"/>
              <w:left w:w="150" w:type="dxa"/>
              <w:right w:w="150" w:type="dxa"/>
            </w:tcMar>
            <w:shd w:fill="F8FAFC"/>
          </w:tcPr>
          <w:p>
            <w:pPr>
              <w:spacing w:before="40" w:after="40"/>
            </w:pPr>
            <w:r>
              <w:rPr>
                <w:color w:val="1F2937"/>
                <w:sz w:val="19"/>
              </w:rPr>
              <w:t>Variable no negativa ei &gt;= 0 restada en restricciones de tipo '&gt;=' para alcanzar la igualdad canónica: sum(aij*xj) - ei = bi.</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Variable Artificial (ai)</w:t>
            </w:r>
          </w:p>
        </w:tc>
        <w:tc>
          <w:tcPr>
            <w:tcW w:type="dxa" w:w="3600"/>
            <w:tcMar>
              <w:top w:w="100" w:type="dxa"/>
              <w:bottom w:w="100" w:type="dxa"/>
              <w:left w:w="150" w:type="dxa"/>
              <w:right w:w="150" w:type="dxa"/>
            </w:tcMar>
            <w:shd w:fill="FFFFFF"/>
          </w:tcPr>
          <w:p>
            <w:pPr>
              <w:spacing w:before="40" w:after="40"/>
            </w:pPr>
            <w:r>
              <w:rPr>
                <w:color w:val="1F2937"/>
                <w:sz w:val="19"/>
              </w:rPr>
              <w:t>Es una 'muleta matemática temporal': como las restricciones '&gt;=' o '=' no tienen holgura positiva natural en el origen, creamos esta variable temporal para poder iniciar el algoritmo.</w:t>
            </w:r>
          </w:p>
        </w:tc>
        <w:tc>
          <w:tcPr>
            <w:tcW w:type="dxa" w:w="3600"/>
            <w:tcMar>
              <w:top w:w="100" w:type="dxa"/>
              <w:bottom w:w="100" w:type="dxa"/>
              <w:left w:w="150" w:type="dxa"/>
              <w:right w:w="150" w:type="dxa"/>
            </w:tcMar>
            <w:shd w:fill="FFFFFF"/>
          </w:tcPr>
          <w:p>
            <w:pPr>
              <w:spacing w:before="40" w:after="40"/>
            </w:pPr>
            <w:r>
              <w:rPr>
                <w:color w:val="1F2937"/>
                <w:sz w:val="19"/>
              </w:rPr>
              <w:t>Variable no negativa ai &gt;= 0 añadida artificialmente para suministrar un vector unitario en la base canónica inicial cuando no existe una solución básica factible obvia.</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Método de la Gran M</w:t>
            </w:r>
          </w:p>
        </w:tc>
        <w:tc>
          <w:tcPr>
            <w:tcW w:type="dxa" w:w="3600"/>
            <w:tcMar>
              <w:top w:w="100" w:type="dxa"/>
              <w:bottom w:w="100" w:type="dxa"/>
              <w:left w:w="150" w:type="dxa"/>
              <w:right w:w="150" w:type="dxa"/>
            </w:tcMar>
            <w:shd w:fill="F8FAFC"/>
          </w:tcPr>
          <w:p>
            <w:pPr>
              <w:spacing w:before="40" w:after="40"/>
            </w:pPr>
            <w:r>
              <w:rPr>
                <w:color w:val="1F2937"/>
                <w:sz w:val="19"/>
              </w:rPr>
              <w:t>Es una multa o penalización gigante: le cobramos un castigo tan astronómico (M) a las variables artificiales que el algoritmo se ve obligado a eliminarlas para no arruinar el resultado.</w:t>
            </w:r>
          </w:p>
        </w:tc>
        <w:tc>
          <w:tcPr>
            <w:tcW w:type="dxa" w:w="3600"/>
            <w:tcMar>
              <w:top w:w="100" w:type="dxa"/>
              <w:bottom w:w="100" w:type="dxa"/>
              <w:left w:w="150" w:type="dxa"/>
              <w:right w:w="150" w:type="dxa"/>
            </w:tcMar>
            <w:shd w:fill="F8FAFC"/>
          </w:tcPr>
          <w:p>
            <w:pPr>
              <w:spacing w:before="40" w:after="40"/>
            </w:pPr>
            <w:r>
              <w:rPr>
                <w:color w:val="1F2937"/>
                <w:sz w:val="19"/>
              </w:rPr>
              <w:t>Técnica algorítmica donde se asigna un coeficiente -M (en Max) o +M (en Min), con M -&gt; +inf, a cada variable artificial en la fila de costo relativo de la función objetivo.</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Método de Dos Fases</w:t>
            </w:r>
          </w:p>
        </w:tc>
        <w:tc>
          <w:tcPr>
            <w:tcW w:type="dxa" w:w="3600"/>
            <w:tcMar>
              <w:top w:w="100" w:type="dxa"/>
              <w:bottom w:w="100" w:type="dxa"/>
              <w:left w:w="150" w:type="dxa"/>
              <w:right w:w="150" w:type="dxa"/>
            </w:tcMar>
            <w:shd w:fill="FFFFFF"/>
          </w:tcPr>
          <w:p>
            <w:pPr>
              <w:spacing w:before="40" w:after="40"/>
            </w:pPr>
            <w:r>
              <w:rPr>
                <w:color w:val="1F2937"/>
                <w:sz w:val="19"/>
              </w:rPr>
              <w:t>Dividir el trabajo en dos etapas: Fase 1 elimina las muletas artificiales buscando cualquier solución factible; Fase 2 optimiza la ganancia real.</w:t>
            </w:r>
          </w:p>
        </w:tc>
        <w:tc>
          <w:tcPr>
            <w:tcW w:type="dxa" w:w="3600"/>
            <w:tcMar>
              <w:top w:w="100" w:type="dxa"/>
              <w:bottom w:w="100" w:type="dxa"/>
              <w:left w:w="150" w:type="dxa"/>
              <w:right w:w="150" w:type="dxa"/>
            </w:tcMar>
            <w:shd w:fill="FFFFFF"/>
          </w:tcPr>
          <w:p>
            <w:pPr>
              <w:spacing w:before="40" w:after="40"/>
            </w:pPr>
            <w:r>
              <w:rPr>
                <w:color w:val="1F2937"/>
                <w:sz w:val="19"/>
              </w:rPr>
              <w:t>Procedimiento en dos etapas: la Fase 1 resuelve un problema auxiliar que minimiza la suma de variables artificiales (W = sum(ai)). Si W* = 0, la Fase 2 restaura Z original y optimiza.</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Pivoteo de Gauss-Jordan</w:t>
            </w:r>
          </w:p>
        </w:tc>
        <w:tc>
          <w:tcPr>
            <w:tcW w:type="dxa" w:w="3600"/>
            <w:tcMar>
              <w:top w:w="100" w:type="dxa"/>
              <w:bottom w:w="100" w:type="dxa"/>
              <w:left w:w="150" w:type="dxa"/>
              <w:right w:w="150" w:type="dxa"/>
            </w:tcMar>
            <w:shd w:fill="F8FAFC"/>
          </w:tcPr>
          <w:p>
            <w:pPr>
              <w:spacing w:before="40" w:after="40"/>
            </w:pPr>
            <w:r>
              <w:rPr>
                <w:color w:val="1F2937"/>
                <w:sz w:val="19"/>
              </w:rPr>
              <w:t>Es el paso de baile matemático para mudarse de una esquina a otra mejor: se elige una variable que entra a la base y se desaloja a la que frena primero.</w:t>
            </w:r>
          </w:p>
        </w:tc>
        <w:tc>
          <w:tcPr>
            <w:tcW w:type="dxa" w:w="3600"/>
            <w:tcMar>
              <w:top w:w="100" w:type="dxa"/>
              <w:bottom w:w="100" w:type="dxa"/>
              <w:left w:w="150" w:type="dxa"/>
              <w:right w:w="150" w:type="dxa"/>
            </w:tcMar>
            <w:shd w:fill="F8FAFC"/>
          </w:tcPr>
          <w:p>
            <w:pPr>
              <w:spacing w:before="40" w:after="40"/>
            </w:pPr>
            <w:r>
              <w:rPr>
                <w:color w:val="1F2937"/>
                <w:sz w:val="19"/>
              </w:rPr>
              <w:t>Transformación elemental de matrices donde la fila pivote se normaliza dividiendo entre el elemento pivote, y las demás filas se anulan restando múltiplos de la fila pivote.</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Regla de la Razón Mínima</w:t>
            </w:r>
          </w:p>
        </w:tc>
        <w:tc>
          <w:tcPr>
            <w:tcW w:type="dxa" w:w="3600"/>
            <w:tcMar>
              <w:top w:w="100" w:type="dxa"/>
              <w:bottom w:w="100" w:type="dxa"/>
              <w:left w:w="150" w:type="dxa"/>
              <w:right w:w="150" w:type="dxa"/>
            </w:tcMar>
            <w:shd w:fill="FFFFFF"/>
          </w:tcPr>
          <w:p>
            <w:pPr>
              <w:spacing w:before="40" w:after="40"/>
            </w:pPr>
            <w:r>
              <w:rPr>
                <w:color w:val="1F2937"/>
                <w:sz w:val="19"/>
              </w:rPr>
              <w:t>Es la prueba de freno: calcula qué recurso se acabará primero para no pasarse nunca de la zona permitida al avanzar.</w:t>
            </w:r>
          </w:p>
        </w:tc>
        <w:tc>
          <w:tcPr>
            <w:tcW w:type="dxa" w:w="3600"/>
            <w:tcMar>
              <w:top w:w="100" w:type="dxa"/>
              <w:bottom w:w="100" w:type="dxa"/>
              <w:left w:w="150" w:type="dxa"/>
              <w:right w:w="150" w:type="dxa"/>
            </w:tcMar>
            <w:shd w:fill="FFFFFF"/>
          </w:tcPr>
          <w:p>
            <w:pPr>
              <w:spacing w:before="40" w:after="40"/>
            </w:pPr>
            <w:r>
              <w:rPr>
                <w:color w:val="1F2937"/>
                <w:sz w:val="19"/>
              </w:rPr>
              <w:t>Criterio de salida de Dantzig: min { bi / a_ik | a_ik &gt; 0 }, que determina la variable básica que abandona la base para preservar la no negatividad del vector RHS.</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Línea de Isocosto / Isobeneficio</w:t>
            </w:r>
          </w:p>
        </w:tc>
        <w:tc>
          <w:tcPr>
            <w:tcW w:type="dxa" w:w="3600"/>
            <w:tcMar>
              <w:top w:w="100" w:type="dxa"/>
              <w:bottom w:w="100" w:type="dxa"/>
              <w:left w:w="150" w:type="dxa"/>
              <w:right w:w="150" w:type="dxa"/>
            </w:tcMar>
            <w:shd w:fill="F8FAFC"/>
          </w:tcPr>
          <w:p>
            <w:pPr>
              <w:spacing w:before="40" w:after="40"/>
            </w:pPr>
            <w:r>
              <w:rPr>
                <w:color w:val="1F2937"/>
                <w:sz w:val="19"/>
              </w:rPr>
              <w:t>Es una regla recta que representa un nivel fijo de ganancia. Se desliza a través del dibujo y el último punto que toca antes de salir es el óptimo.</w:t>
            </w:r>
          </w:p>
        </w:tc>
        <w:tc>
          <w:tcPr>
            <w:tcW w:type="dxa" w:w="3600"/>
            <w:tcMar>
              <w:top w:w="100" w:type="dxa"/>
              <w:bottom w:w="100" w:type="dxa"/>
              <w:left w:w="150" w:type="dxa"/>
              <w:right w:w="150" w:type="dxa"/>
            </w:tcMar>
            <w:shd w:fill="F8FAFC"/>
          </w:tcPr>
          <w:p>
            <w:pPr>
              <w:spacing w:before="40" w:after="40"/>
            </w:pPr>
            <w:r>
              <w:rPr>
                <w:color w:val="1F2937"/>
                <w:sz w:val="19"/>
              </w:rPr>
              <w:t>Línea de nivel { (x1, x2) | c1*x1 + c2*x2 = k } perpendicular al vector gradiente nabla(Z) que barre la región factible en la dirección de optimización.</w:t>
            </w:r>
          </w:p>
        </w:tc>
      </w:tr>
    </w:tbl>
    <w:p>
      <w:pPr>
        <w:spacing w:after="240"/>
      </w:pPr>
    </w:p>
    <w:p>
      <w:pPr>
        <w:pStyle w:val="Heading1"/>
      </w:pPr>
      <w:r>
        <w:rPr>
          <w:color w:val="0F172A"/>
        </w:rPr>
        <w:t>3. Fundamentos Matemáticos y Algorítmicos</w:t>
      </w:r>
    </w:p>
    <w:p>
      <w:pPr>
        <w:pStyle w:val="Heading2"/>
      </w:pPr>
      <w:r>
        <w:rPr>
          <w:color w:val="1E3A8A"/>
        </w:rPr>
        <w:t>3.1. Método Gráfico Bidimensional</w:t>
      </w:r>
    </w:p>
    <w:p>
      <w:r>
        <w:t>El Método Gráfico es aplicable a modelos lineales con exactamente dos variables de decisión (x1 y x2). Su resolución se basa en las propiedades geométricas del plano cartesiano:</w:t>
      </w:r>
    </w:p>
    <w:p>
      <w:pPr>
        <w:pStyle w:val="ListBullet"/>
        <w:spacing w:before="40" w:after="40"/>
      </w:pPr>
      <w:r>
        <w:rPr>
          <w:sz w:val="20"/>
        </w:rPr>
        <w:t>Paso 1: Trazado de Rectas Frontera. Cada desigualdad a1*x1 + a2*x2 &lt;= b se convierte en la ecuación a1*x1 + a2*x2 = b. Se calculan las intersecciones con los ejes coordenados: x1 = b/a1 (haciendo x2=0) y x2 = b/a2 (haciendo x1=0).</w:t>
      </w:r>
    </w:p>
    <w:p>
      <w:pPr>
        <w:pStyle w:val="ListBullet"/>
        <w:spacing w:before="40" w:after="40"/>
      </w:pPr>
      <w:r>
        <w:rPr>
          <w:sz w:val="20"/>
        </w:rPr>
        <w:t>Paso 2: Identificación del Semiplano Válido. Se evalúa un punto de prueba conveniente, generalmente el origen (0,0). Si satisface la desigualdad original, el semiplano que contiene al origen es factible; en caso contrario, se selecciona el semiplano opuesto.</w:t>
      </w:r>
    </w:p>
    <w:p>
      <w:pPr>
        <w:pStyle w:val="ListBullet"/>
        <w:spacing w:before="40" w:after="40"/>
      </w:pPr>
      <w:r>
        <w:rPr>
          <w:sz w:val="20"/>
        </w:rPr>
        <w:t>Paso 3: Determinación de la Región Factible Convexa. Se intersecan todos los semiplanos junto con el primer cuadrante (x1 &gt;= 0, x2 &gt;= 0). Los vértices se calculan resolviendo pares de rectas frontera mediante la Regla de Cramer (determinantes 2x2).</w:t>
      </w:r>
    </w:p>
    <w:p>
      <w:pPr>
        <w:pStyle w:val="ListBullet"/>
        <w:spacing w:before="40" w:after="40"/>
      </w:pPr>
      <w:r>
        <w:rPr>
          <w:sz w:val="20"/>
        </w:rPr>
        <w:t>Paso 4: Ordenamiento Polar del Polígono. Para sombrear correctamente la región en el Canvas interactivo, los vértices se ordenan angularmente alrededor de su centroide geométrico utilizando la función arco tangente de dos parámetros atan2(y - y_c, x - x_c).</w:t>
      </w:r>
    </w:p>
    <w:p>
      <w:pPr>
        <w:pStyle w:val="ListBullet"/>
        <w:spacing w:before="40" w:after="40"/>
      </w:pPr>
      <w:r>
        <w:rPr>
          <w:sz w:val="20"/>
        </w:rPr>
        <w:t>Paso 5: Evaluación de la Función Objetivo en Vértices. En virtud del Teorema Fundamental de la Programación Lineal, el óptimo global reside en uno de los vértices extremos. Se evalúa Z(x1, x2) en cada vértice para seleccionar el valor máximo o mínimo.</w:t>
      </w:r>
    </w:p>
    <w:p>
      <w:pPr>
        <w:pStyle w:val="Heading2"/>
      </w:pPr>
      <w:r>
        <w:rPr>
          <w:color w:val="1E3A8A"/>
        </w:rPr>
        <w:t>3.2. Método Simplex Estándar</w:t>
      </w:r>
    </w:p>
    <w:p>
      <w:r>
        <w:t>El Método Simplex, concebido por George Dantzig en 1947, es el algoritmo fundamental para resolver problemas de programación lineal de cualquier dimensión n. Opera algebraicamente moviéndose a lo largo de las aristas del polítopo factible de un vértice (Solución Básica Factible) a otro adyacente con un valor de Z estrictamente mejor (o igual en caso de degeneración).</w:t>
      </w:r>
    </w:p>
    <w:p>
      <w:pPr>
        <w:pStyle w:val="ListBullet"/>
        <w:spacing w:before="40" w:after="40"/>
      </w:pPr>
      <w:r>
        <w:rPr>
          <w:sz w:val="20"/>
        </w:rPr>
        <w:t>1. Estandarización Canónica: Se añaden variables de holgura positivas (s_i &gt;= 0) a cada restricción '&lt;=', obteniendo una matriz identidad inicial que define la base de partida en el origen.</w:t>
      </w:r>
    </w:p>
    <w:p>
      <w:pPr>
        <w:pStyle w:val="ListBullet"/>
        <w:spacing w:before="40" w:after="40"/>
      </w:pPr>
      <w:r>
        <w:rPr>
          <w:sz w:val="20"/>
        </w:rPr>
        <w:t>2. Fila de Costos Relativos (Z_j - C_j): Evalúa el gradiente de mejora. Para Maximizar, si existe algún coeficiente negativo en la fila Z, la solución actual no es óptima y la variable con el coeficiente más negativo entra a la base (Columna Pivote). Para Minimizar, entra la variable con el coeficiente positivo más alto.</w:t>
      </w:r>
    </w:p>
    <w:p>
      <w:pPr>
        <w:pStyle w:val="ListBullet"/>
        <w:spacing w:before="40" w:after="40"/>
      </w:pPr>
      <w:r>
        <w:rPr>
          <w:sz w:val="20"/>
        </w:rPr>
        <w:t>3. Condición de Salida (Razón Mínima): Se dividen los términos independientes b_i entre los elementos positivos de la columna pivote a_ik &gt; 0. La fila con el cociente mínimo abandona la base (Fila Pivote).</w:t>
      </w:r>
    </w:p>
    <w:p>
      <w:pPr>
        <w:pStyle w:val="ListBullet"/>
        <w:spacing w:before="40" w:after="40"/>
      </w:pPr>
      <w:r>
        <w:rPr>
          <w:sz w:val="20"/>
        </w:rPr>
        <w:t>4. Iteración de Gauss-Jordan: El elemento pivote a_rk se convierte en 1 dividiendo toda la fila pivote. Mediante operaciones elementales de fila (Fila_i = Fila_i - a_ik * Fila_pivote), se hacen cero todos los demás elementos de la columna pivote.</w:t>
      </w:r>
    </w:p>
    <w:p>
      <w:pPr>
        <w:pStyle w:val="ListBullet"/>
        <w:spacing w:before="40" w:after="40"/>
      </w:pPr>
      <w:r>
        <w:rPr>
          <w:sz w:val="20"/>
        </w:rPr>
        <w:t>5. Desglose Didáctico de la Solución Básica: Al pie de cada tabla, el sistema extrae e identifica en tiempo real las Variables Básicas (VB) con su valor en la columna RHS, las Variables No Básicas (VNB) que por axioma valen 0, y el valor actual de Z (o W en Fase 1).</w:t>
      </w:r>
    </w:p>
    <w:p>
      <w:pPr>
        <w:pStyle w:val="Heading2"/>
      </w:pPr>
      <w:r>
        <w:rPr>
          <w:color w:val="1E3A8A"/>
        </w:rPr>
        <w:t>3.3. Método de la Gran M (Penalización Simbólica)</w:t>
      </w:r>
    </w:p>
    <w:p>
      <w:r>
        <w:t>Cuando un modelo posee restricciones de tipo '&gt;=' o de igualdad '=', el origen (0,0) no es factible y no proporciona una base canónica unitaria inmediata. El Método de la Gran M resuelve esto agregando una variable artificial a_i con un coeficiente de penalización M extraordinariamente grande en la función objetivo:</w:t>
      </w:r>
    </w:p>
    <w:p>
      <w:pPr>
        <w:pStyle w:val="ListBullet"/>
        <w:spacing w:before="40" w:after="40"/>
      </w:pPr>
      <w:r>
        <w:rPr>
          <w:sz w:val="20"/>
        </w:rPr>
        <w:t>Función Objetivo Penalizada: En Maximización: Max Z = sum(cj*xj) - M * sum(ai). En Minimización: Min Z = sum(cj*xj) + M * sum(ai).</w:t>
      </w:r>
    </w:p>
    <w:p>
      <w:pPr>
        <w:pStyle w:val="ListBullet"/>
        <w:spacing w:before="40" w:after="40"/>
      </w:pPr>
      <w:r>
        <w:rPr>
          <w:sz w:val="20"/>
        </w:rPr>
        <w:t>Álgebra Simbólica Dual c + m*M: Nuestro motor no aproxima M con un número flotante grande (como 100,000, que produce graves errores de desbordamiento y precisión). En su lugar, utiliza un número dual estructurado { c: Fraction, m: Fraction }, resolviendo las operaciones de fila con precisión algebraica exacta.</w:t>
      </w:r>
    </w:p>
    <w:p>
      <w:pPr>
        <w:pStyle w:val="ListBullet"/>
        <w:spacing w:before="40" w:after="40"/>
      </w:pPr>
      <w:r>
        <w:rPr>
          <w:sz w:val="20"/>
        </w:rPr>
        <w:t>Ajuste Canónico Inicial: Como las variables artificiales están en la base al comenzar pero tienen coeficientes distintos de cero en la fila Z, se realiza una eliminación hacia atrás: Fila_Z = Fila_Z + M * Fila_i (en Min) o Fila_Z = Fila_Z - M * Fila_i (en Max) para restaurar los ceros canónicos en las columnas básicas.</w:t>
      </w:r>
    </w:p>
    <w:p>
      <w:pPr>
        <w:pStyle w:val="Heading2"/>
      </w:pPr>
      <w:r>
        <w:rPr>
          <w:color w:val="1E3A8A"/>
        </w:rPr>
        <w:t>3.4. Método de las Dos Fases</w:t>
      </w:r>
    </w:p>
    <w:p>
      <w:r>
        <w:t>El Método de las Dos Fases es una alternativa matemáticamente elegante a la Gran M que evita completamente manipular la constante simbólica M, resolviendo dos problemas lineales sucesivos:</w:t>
      </w:r>
    </w:p>
    <w:p>
      <w:pPr>
        <w:pStyle w:val="ListBullet"/>
        <w:spacing w:before="40" w:after="40"/>
      </w:pPr>
      <w:r>
        <w:rPr>
          <w:sz w:val="20"/>
        </w:rPr>
        <w:t>Fase 1 (Búsqueda de Factibilidad): Se ignora la función objetivo original Z y se define una función objetivo auxiliar: Min W = sum(ai), que busca minimizar la suma de todas las variables artificiales. Si al terminar el valor óptimo de W es cero (W* = 0) y no quedan variables artificiales en la base con valor positivo, existe al menos una Solución Básica Factible y se avanza a la Fase 2. Si W* &gt; 0, el problema original es INFACTIBLE.</w:t>
      </w:r>
    </w:p>
    <w:p>
      <w:pPr>
        <w:pStyle w:val="ListBullet"/>
        <w:spacing w:before="40" w:after="40"/>
      </w:pPr>
      <w:r>
        <w:rPr>
          <w:sz w:val="20"/>
        </w:rPr>
        <w:t>Fase 2 (Optimización del Modelo Real): Se eliminan definitivamente las columnas de las variables artificiales de la tabla. Se reintroduce la función objetivo original Z. Se actualiza la fila Z sustituyendo las variables que actualmente están en la base para asegurar su forma canónica canónica, y se continúa iterando con Simplex ordinario hasta alcanzar el óptimo.</w:t>
      </w:r>
    </w:p>
    <w:p>
      <w:pPr>
        <w:pStyle w:val="Heading2"/>
      </w:pPr>
      <w:r>
        <w:rPr>
          <w:color w:val="1E3A8A"/>
        </w:rPr>
        <w:t>3.5. Aritmética de Fracciones Exactas sin Pérdida Decimal</w:t>
      </w:r>
    </w:p>
    <w:p>
      <w:r>
        <w:t>Uno de los logros técnicos más destacados de 'Solver IO' es su motor de cálculo basado en la clase Fraction (src/core/math/fraction.ts). Toda operación matemática (suma, resta, multiplicación, división, cálculo de determinantes y pivoteo de matrices) se efectúa sobre números racionales p/q utilizando enteros de precisión arbitraria (BigInt de JavaScript).</w:t>
      </w:r>
    </w:p>
    <w:p>
      <w:r>
        <w:t>Esto garantiza que fracciones canónicas como 1/3, 5/7 o 23/11 no sufran truncamiento binario (IEEE 754), permitiendo que el alumno compare sus cálculos manuales de libreta con las matrices del sistema con coincidencia exacta del 100%.</w:t>
      </w:r>
    </w:p>
    <w:p>
      <w:pPr>
        <w:pStyle w:val="Heading1"/>
      </w:pPr>
      <w:r>
        <w:rPr>
          <w:color w:val="0F172A"/>
        </w:rPr>
        <w:t>4. Diagnóstico de Casos Especiales de Programación Lineal</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tcMar>
              <w:top w:w="100" w:type="dxa"/>
              <w:bottom w:w="100" w:type="dxa"/>
              <w:left w:w="150" w:type="dxa"/>
              <w:right w:w="150" w:type="dxa"/>
            </w:tcMar>
            <w:shd w:fill="1E3A8A"/>
          </w:tcPr>
          <w:p>
            <w:pPr>
              <w:spacing w:before="60" w:after="60"/>
            </w:pPr>
            <w:r>
              <w:rPr>
                <w:b/>
                <w:color w:val="FFFFFF"/>
                <w:sz w:val="19"/>
              </w:rPr>
              <w:t>Caso Especial</w:t>
            </w:r>
          </w:p>
        </w:tc>
        <w:tc>
          <w:tcPr>
            <w:tcW w:type="dxa" w:w="3600"/>
            <w:tcMar>
              <w:top w:w="100" w:type="dxa"/>
              <w:bottom w:w="100" w:type="dxa"/>
              <w:left w:w="150" w:type="dxa"/>
              <w:right w:w="150" w:type="dxa"/>
            </w:tcMar>
            <w:shd w:fill="1E3A8A"/>
          </w:tcPr>
          <w:p>
            <w:pPr>
              <w:spacing w:before="60" w:after="60"/>
            </w:pPr>
            <w:r>
              <w:rPr>
                <w:b/>
                <w:color w:val="FFFFFF"/>
                <w:sz w:val="19"/>
              </w:rPr>
              <w:t>Manifestación Geométrica (2D)</w:t>
            </w:r>
          </w:p>
        </w:tc>
        <w:tc>
          <w:tcPr>
            <w:tcW w:type="dxa" w:w="3600"/>
            <w:tcMar>
              <w:top w:w="100" w:type="dxa"/>
              <w:bottom w:w="100" w:type="dxa"/>
              <w:left w:w="150" w:type="dxa"/>
              <w:right w:w="150" w:type="dxa"/>
            </w:tcMar>
            <w:shd w:fill="1E3A8A"/>
          </w:tcPr>
          <w:p>
            <w:pPr>
              <w:spacing w:before="60" w:after="60"/>
            </w:pPr>
            <w:r>
              <w:rPr>
                <w:b/>
                <w:color w:val="FFFFFF"/>
                <w:sz w:val="19"/>
              </w:rPr>
              <w:t>Detección en Tabla Simplex</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Solución Óptima Única</w:t>
            </w:r>
          </w:p>
        </w:tc>
        <w:tc>
          <w:tcPr>
            <w:tcW w:type="dxa" w:w="3600"/>
            <w:tcMar>
              <w:top w:w="100" w:type="dxa"/>
              <w:bottom w:w="100" w:type="dxa"/>
              <w:left w:w="150" w:type="dxa"/>
              <w:right w:w="150" w:type="dxa"/>
            </w:tcMar>
            <w:shd w:fill="FFFFFF"/>
          </w:tcPr>
          <w:p>
            <w:pPr>
              <w:spacing w:before="40" w:after="40"/>
            </w:pPr>
            <w:r>
              <w:rPr>
                <w:color w:val="1F2937"/>
                <w:sz w:val="19"/>
              </w:rPr>
              <w:t>La función objetivo toca la región factible en exactamente un vértice aislado.</w:t>
            </w:r>
          </w:p>
        </w:tc>
        <w:tc>
          <w:tcPr>
            <w:tcW w:type="dxa" w:w="3600"/>
            <w:tcMar>
              <w:top w:w="100" w:type="dxa"/>
              <w:bottom w:w="100" w:type="dxa"/>
              <w:left w:w="150" w:type="dxa"/>
              <w:right w:w="150" w:type="dxa"/>
            </w:tcMar>
            <w:shd w:fill="FFFFFF"/>
          </w:tcPr>
          <w:p>
            <w:pPr>
              <w:spacing w:before="40" w:after="40"/>
            </w:pPr>
            <w:r>
              <w:rPr>
                <w:color w:val="1F2937"/>
                <w:sz w:val="19"/>
              </w:rPr>
              <w:t>En la tabla final óptima, todos los costos reducidos de las variables no básicas son estrictamente positivos (en Max) o negativos (en Min).</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Soluciones Óptimas Múltiples (Infinitas)</w:t>
            </w:r>
          </w:p>
        </w:tc>
        <w:tc>
          <w:tcPr>
            <w:tcW w:type="dxa" w:w="3600"/>
            <w:tcMar>
              <w:top w:w="100" w:type="dxa"/>
              <w:bottom w:w="100" w:type="dxa"/>
              <w:left w:w="150" w:type="dxa"/>
              <w:right w:w="150" w:type="dxa"/>
            </w:tcMar>
            <w:shd w:fill="F8FAFC"/>
          </w:tcPr>
          <w:p>
            <w:pPr>
              <w:spacing w:before="40" w:after="40"/>
            </w:pPr>
            <w:r>
              <w:rPr>
                <w:color w:val="1F2937"/>
                <w:sz w:val="19"/>
              </w:rPr>
              <w:t>La pendiente de la recta Z coincide con la pendiente de una restricción frontera activa. Toda la arista o segmento de recta entre dos vértices adyacentes es óptima.</w:t>
            </w:r>
          </w:p>
        </w:tc>
        <w:tc>
          <w:tcPr>
            <w:tcW w:type="dxa" w:w="3600"/>
            <w:tcMar>
              <w:top w:w="100" w:type="dxa"/>
              <w:bottom w:w="100" w:type="dxa"/>
              <w:left w:w="150" w:type="dxa"/>
              <w:right w:w="150" w:type="dxa"/>
            </w:tcMar>
            <w:shd w:fill="F8FAFC"/>
          </w:tcPr>
          <w:p>
            <w:pPr>
              <w:spacing w:before="40" w:after="40"/>
            </w:pPr>
            <w:r>
              <w:rPr>
                <w:color w:val="1F2937"/>
                <w:sz w:val="19"/>
              </w:rPr>
              <w:t>En la tabla óptima, existe al menos una variable no básica cuyo costo reducido en la fila Z es exactamente CERO, indicando que puede entrar a la base sin modificar el valor de Z.</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Región / Solución No Acotada (Unbounded)</w:t>
            </w:r>
          </w:p>
        </w:tc>
        <w:tc>
          <w:tcPr>
            <w:tcW w:type="dxa" w:w="3600"/>
            <w:tcMar>
              <w:top w:w="100" w:type="dxa"/>
              <w:bottom w:w="100" w:type="dxa"/>
              <w:left w:w="150" w:type="dxa"/>
              <w:right w:w="150" w:type="dxa"/>
            </w:tcMar>
            <w:shd w:fill="FFFFFF"/>
          </w:tcPr>
          <w:p>
            <w:pPr>
              <w:spacing w:before="40" w:after="40"/>
            </w:pPr>
            <w:r>
              <w:rPr>
                <w:color w:val="1F2937"/>
                <w:sz w:val="19"/>
              </w:rPr>
              <w:t>La región factible está abierta hacia el infinito en la dirección de mejora de Z, permitiendo que la ganancia crezca sin límite (+infinito) o el costo disminuya (-infinito).</w:t>
            </w:r>
          </w:p>
        </w:tc>
        <w:tc>
          <w:tcPr>
            <w:tcW w:type="dxa" w:w="3600"/>
            <w:tcMar>
              <w:top w:w="100" w:type="dxa"/>
              <w:bottom w:w="100" w:type="dxa"/>
              <w:left w:w="150" w:type="dxa"/>
              <w:right w:w="150" w:type="dxa"/>
            </w:tcMar>
            <w:shd w:fill="FFFFFF"/>
          </w:tcPr>
          <w:p>
            <w:pPr>
              <w:spacing w:before="40" w:after="40"/>
            </w:pPr>
            <w:r>
              <w:rPr>
                <w:color w:val="1F2937"/>
                <w:sz w:val="19"/>
              </w:rPr>
              <w:t>Al aplicar la regla de la razón mínima, todos los coeficientes de la columna pivote son menores o iguales a cero (a_ik &lt;= 0). No existe ninguna fila candidata para salir de la base.</w:t>
            </w:r>
          </w:p>
        </w:tc>
      </w:tr>
      <w:tr>
        <w:trPr>
          <w:cantSplit/>
        </w:trPr>
        <w:tc>
          <w:tcPr>
            <w:tcW w:type="dxa" w:w="2160"/>
            <w:tcMar>
              <w:top w:w="100" w:type="dxa"/>
              <w:bottom w:w="100" w:type="dxa"/>
              <w:left w:w="150" w:type="dxa"/>
              <w:right w:w="150" w:type="dxa"/>
            </w:tcMar>
            <w:shd w:fill="F8FAFC"/>
          </w:tcPr>
          <w:p>
            <w:pPr>
              <w:spacing w:before="40" w:after="40"/>
            </w:pPr>
            <w:r>
              <w:rPr>
                <w:color w:val="1F2937"/>
                <w:sz w:val="19"/>
              </w:rPr>
              <w:t>Problema Infactible (Sin Solución)</w:t>
            </w:r>
          </w:p>
        </w:tc>
        <w:tc>
          <w:tcPr>
            <w:tcW w:type="dxa" w:w="3600"/>
            <w:tcMar>
              <w:top w:w="100" w:type="dxa"/>
              <w:bottom w:w="100" w:type="dxa"/>
              <w:left w:w="150" w:type="dxa"/>
              <w:right w:w="150" w:type="dxa"/>
            </w:tcMar>
            <w:shd w:fill="F8FAFC"/>
          </w:tcPr>
          <w:p>
            <w:pPr>
              <w:spacing w:before="40" w:after="40"/>
            </w:pPr>
            <w:r>
              <w:rPr>
                <w:color w:val="1F2937"/>
                <w:sz w:val="19"/>
              </w:rPr>
              <w:t>Las restricciones son mutuamente contradictorias. La intersección de los semiplanos es el conjunto vacío (no existe región factible).</w:t>
            </w:r>
          </w:p>
        </w:tc>
        <w:tc>
          <w:tcPr>
            <w:tcW w:type="dxa" w:w="3600"/>
            <w:tcMar>
              <w:top w:w="100" w:type="dxa"/>
              <w:bottom w:w="100" w:type="dxa"/>
              <w:left w:w="150" w:type="dxa"/>
              <w:right w:w="150" w:type="dxa"/>
            </w:tcMar>
            <w:shd w:fill="F8FAFC"/>
          </w:tcPr>
          <w:p>
            <w:pPr>
              <w:spacing w:before="40" w:after="40"/>
            </w:pPr>
            <w:r>
              <w:rPr>
                <w:color w:val="1F2937"/>
                <w:sz w:val="19"/>
              </w:rPr>
              <w:t>En la tabla final que cumple el criterio de optimalidad, al menos una variable artificial a_i permanece en la base con un valor estrictamente positivo (RHS &gt; 0).</w:t>
            </w:r>
          </w:p>
        </w:tc>
      </w:tr>
      <w:tr>
        <w:trPr>
          <w:cantSplit/>
        </w:trPr>
        <w:tc>
          <w:tcPr>
            <w:tcW w:type="dxa" w:w="2160"/>
            <w:tcMar>
              <w:top w:w="100" w:type="dxa"/>
              <w:bottom w:w="100" w:type="dxa"/>
              <w:left w:w="150" w:type="dxa"/>
              <w:right w:w="150" w:type="dxa"/>
            </w:tcMar>
            <w:shd w:fill="FFFFFF"/>
          </w:tcPr>
          <w:p>
            <w:pPr>
              <w:spacing w:before="40" w:after="40"/>
            </w:pPr>
            <w:r>
              <w:rPr>
                <w:color w:val="1F2937"/>
                <w:sz w:val="19"/>
              </w:rPr>
              <w:t>Degeneración y Empates</w:t>
            </w:r>
          </w:p>
        </w:tc>
        <w:tc>
          <w:tcPr>
            <w:tcW w:type="dxa" w:w="3600"/>
            <w:tcMar>
              <w:top w:w="100" w:type="dxa"/>
              <w:bottom w:w="100" w:type="dxa"/>
              <w:left w:w="150" w:type="dxa"/>
              <w:right w:w="150" w:type="dxa"/>
            </w:tcMar>
            <w:shd w:fill="FFFFFF"/>
          </w:tcPr>
          <w:p>
            <w:pPr>
              <w:spacing w:before="40" w:after="40"/>
            </w:pPr>
            <w:r>
              <w:rPr>
                <w:color w:val="1F2937"/>
                <w:sz w:val="19"/>
              </w:rPr>
              <w:t>Tres o más rectas de restricción concurren exactamente en el mismo punto del plano (sobredeterminación).</w:t>
            </w:r>
          </w:p>
        </w:tc>
        <w:tc>
          <w:tcPr>
            <w:tcW w:type="dxa" w:w="3600"/>
            <w:tcMar>
              <w:top w:w="100" w:type="dxa"/>
              <w:bottom w:w="100" w:type="dxa"/>
              <w:left w:w="150" w:type="dxa"/>
              <w:right w:w="150" w:type="dxa"/>
            </w:tcMar>
            <w:shd w:fill="FFFFFF"/>
          </w:tcPr>
          <w:p>
            <w:pPr>
              <w:spacing w:before="40" w:after="40"/>
            </w:pPr>
            <w:r>
              <w:rPr>
                <w:color w:val="1F2937"/>
                <w:sz w:val="19"/>
              </w:rPr>
              <w:t>Ocurre un empate en la razón mínima, provocando que en la siguiente iteración una o más variables básicas tomen el valor numérico cero (RHS = 0).</w:t>
            </w:r>
          </w:p>
        </w:tc>
      </w:tr>
    </w:tbl>
    <w:p>
      <w:pPr>
        <w:spacing w:after="240"/>
      </w:pPr>
    </w:p>
    <w:p>
      <w:pPr>
        <w:pStyle w:val="Heading1"/>
      </w:pPr>
      <w:r>
        <w:rPr>
          <w:color w:val="0F172A"/>
        </w:rPr>
        <w:t>5. Arquitectura del Sistema y Patrones de Diseño</w:t>
      </w:r>
    </w:p>
    <w:p>
      <w:r>
        <w:t>El proyecto fue diseñado aplicando los principios de la Arquitectura Limpia (Clean Architecture) y la separación estricta de responsabilidades (SoC). La lógica matemática es agnóstica de la interfaz, lo que permite que los motores de cálculo puedan ser sometidos a pruebas unitarias sin requerir el navegador.</w:t>
      </w:r>
    </w:p>
    <w:p>
      <w:pPr>
        <w:pStyle w:val="Heading2"/>
      </w:pPr>
      <w:r>
        <w:rPr>
          <w:color w:val="1E3A8A"/>
        </w:rPr>
        <w:t>5.1. El Patrón MVC (Modelo - Vista - Controlador)</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tcMar>
              <w:top w:w="100" w:type="dxa"/>
              <w:bottom w:w="100" w:type="dxa"/>
              <w:left w:w="150" w:type="dxa"/>
              <w:right w:w="150" w:type="dxa"/>
            </w:tcMar>
            <w:shd w:fill="1E3A8A"/>
          </w:tcPr>
          <w:p>
            <w:pPr>
              <w:spacing w:before="60" w:after="60"/>
            </w:pPr>
            <w:r>
              <w:rPr>
                <w:b/>
                <w:color w:val="FFFFFF"/>
                <w:sz w:val="19"/>
              </w:rPr>
              <w:t>Capa MVC</w:t>
            </w:r>
          </w:p>
        </w:tc>
        <w:tc>
          <w:tcPr>
            <w:tcW w:type="dxa" w:w="2448"/>
            <w:tcMar>
              <w:top w:w="100" w:type="dxa"/>
              <w:bottom w:w="100" w:type="dxa"/>
              <w:left w:w="150" w:type="dxa"/>
              <w:right w:w="150" w:type="dxa"/>
            </w:tcMar>
            <w:shd w:fill="1E3A8A"/>
          </w:tcPr>
          <w:p>
            <w:pPr>
              <w:spacing w:before="60" w:after="60"/>
            </w:pPr>
            <w:r>
              <w:rPr>
                <w:b/>
                <w:color w:val="FFFFFF"/>
                <w:sz w:val="19"/>
              </w:rPr>
              <w:t>Ubicación en el Proyecto</w:t>
            </w:r>
          </w:p>
        </w:tc>
        <w:tc>
          <w:tcPr>
            <w:tcW w:type="dxa" w:w="4320"/>
            <w:tcMar>
              <w:top w:w="100" w:type="dxa"/>
              <w:bottom w:w="100" w:type="dxa"/>
              <w:left w:w="150" w:type="dxa"/>
              <w:right w:w="150" w:type="dxa"/>
            </w:tcMar>
            <w:shd w:fill="1E3A8A"/>
          </w:tcPr>
          <w:p>
            <w:pPr>
              <w:spacing w:before="60" w:after="60"/>
            </w:pPr>
            <w:r>
              <w:rPr>
                <w:b/>
                <w:color w:val="FFFFFF"/>
                <w:sz w:val="19"/>
              </w:rPr>
              <w:t>Rol y Responsabilidad</w:t>
            </w:r>
          </w:p>
        </w:tc>
      </w:tr>
      <w:tr>
        <w:trPr>
          <w:cantSplit/>
        </w:trPr>
        <w:tc>
          <w:tcPr>
            <w:tcW w:type="dxa" w:w="2592"/>
            <w:tcMar>
              <w:top w:w="100" w:type="dxa"/>
              <w:bottom w:w="100" w:type="dxa"/>
              <w:left w:w="150" w:type="dxa"/>
              <w:right w:w="150" w:type="dxa"/>
            </w:tcMar>
            <w:shd w:fill="FFFFFF"/>
          </w:tcPr>
          <w:p>
            <w:pPr>
              <w:spacing w:before="40" w:after="40"/>
            </w:pPr>
            <w:r>
              <w:rPr>
                <w:color w:val="1F2937"/>
                <w:sz w:val="19"/>
              </w:rPr>
              <w:t>MODELO (Model)</w:t>
            </w:r>
          </w:p>
        </w:tc>
        <w:tc>
          <w:tcPr>
            <w:tcW w:type="dxa" w:w="2448"/>
            <w:tcMar>
              <w:top w:w="100" w:type="dxa"/>
              <w:bottom w:w="100" w:type="dxa"/>
              <w:left w:w="150" w:type="dxa"/>
              <w:right w:w="150" w:type="dxa"/>
            </w:tcMar>
            <w:shd w:fill="FFFFFF"/>
          </w:tcPr>
          <w:p>
            <w:pPr>
              <w:spacing w:before="40" w:after="40"/>
            </w:pPr>
            <w:r>
              <w:rPr>
                <w:color w:val="1F2937"/>
                <w:sz w:val="19"/>
              </w:rPr>
              <w:t>src/core/</w:t>
            </w:r>
          </w:p>
        </w:tc>
        <w:tc>
          <w:tcPr>
            <w:tcW w:type="dxa" w:w="4320"/>
            <w:tcMar>
              <w:top w:w="100" w:type="dxa"/>
              <w:bottom w:w="100" w:type="dxa"/>
              <w:left w:w="150" w:type="dxa"/>
              <w:right w:w="150" w:type="dxa"/>
            </w:tcMar>
            <w:shd w:fill="FFFFFF"/>
          </w:tcPr>
          <w:p>
            <w:pPr>
              <w:spacing w:before="40" w:after="40"/>
            </w:pPr>
            <w:r>
              <w:rPr>
                <w:color w:val="1F2937"/>
                <w:sz w:val="19"/>
              </w:rPr>
              <w:t>Representa la lógica matemática y las estructuras de datos puras: Fraction, BigMValue, LPModel, LPConstraint, SimplexTableau, GraphicSolution. No contiene dependencias de React ni de elementos visuales.</w:t>
            </w:r>
          </w:p>
        </w:tc>
      </w:tr>
      <w:tr>
        <w:trPr>
          <w:cantSplit/>
        </w:trPr>
        <w:tc>
          <w:tcPr>
            <w:tcW w:type="dxa" w:w="2592"/>
            <w:tcMar>
              <w:top w:w="100" w:type="dxa"/>
              <w:bottom w:w="100" w:type="dxa"/>
              <w:left w:w="150" w:type="dxa"/>
              <w:right w:w="150" w:type="dxa"/>
            </w:tcMar>
            <w:shd w:fill="F8FAFC"/>
          </w:tcPr>
          <w:p>
            <w:pPr>
              <w:spacing w:before="40" w:after="40"/>
            </w:pPr>
            <w:r>
              <w:rPr>
                <w:color w:val="1F2937"/>
                <w:sz w:val="19"/>
              </w:rPr>
              <w:t>VISTA (View)</w:t>
            </w:r>
          </w:p>
        </w:tc>
        <w:tc>
          <w:tcPr>
            <w:tcW w:type="dxa" w:w="2448"/>
            <w:tcMar>
              <w:top w:w="100" w:type="dxa"/>
              <w:bottom w:w="100" w:type="dxa"/>
              <w:left w:w="150" w:type="dxa"/>
              <w:right w:w="150" w:type="dxa"/>
            </w:tcMar>
            <w:shd w:fill="F8FAFC"/>
          </w:tcPr>
          <w:p>
            <w:pPr>
              <w:spacing w:before="40" w:after="40"/>
            </w:pPr>
            <w:r>
              <w:rPr>
                <w:color w:val="1F2937"/>
                <w:sz w:val="19"/>
              </w:rPr>
              <w:t>src/components/</w:t>
            </w:r>
          </w:p>
        </w:tc>
        <w:tc>
          <w:tcPr>
            <w:tcW w:type="dxa" w:w="4320"/>
            <w:tcMar>
              <w:top w:w="100" w:type="dxa"/>
              <w:bottom w:w="100" w:type="dxa"/>
              <w:left w:w="150" w:type="dxa"/>
              <w:right w:w="150" w:type="dxa"/>
            </w:tcMar>
            <w:shd w:fill="F8FAFC"/>
          </w:tcPr>
          <w:p>
            <w:pPr>
              <w:spacing w:before="40" w:after="40"/>
            </w:pPr>
            <w:r>
              <w:rPr>
                <w:color w:val="1F2937"/>
                <w:sz w:val="19"/>
              </w:rPr>
              <w:t>Componentes visuales declarativos encargados de la renderización: SimplexTableau (tablas coloreadas), GraphicCanvas (plano cartesiano con HTML5 Canvas), SimplexStepCard (fórmulas en KaTeX), ProblemInput y Header.</w:t>
            </w:r>
          </w:p>
        </w:tc>
      </w:tr>
      <w:tr>
        <w:trPr>
          <w:cantSplit/>
        </w:trPr>
        <w:tc>
          <w:tcPr>
            <w:tcW w:type="dxa" w:w="2592"/>
            <w:tcMar>
              <w:top w:w="100" w:type="dxa"/>
              <w:bottom w:w="100" w:type="dxa"/>
              <w:left w:w="150" w:type="dxa"/>
              <w:right w:w="150" w:type="dxa"/>
            </w:tcMar>
            <w:shd w:fill="FFFFFF"/>
          </w:tcPr>
          <w:p>
            <w:pPr>
              <w:spacing w:before="40" w:after="40"/>
            </w:pPr>
            <w:r>
              <w:rPr>
                <w:color w:val="1F2937"/>
                <w:sz w:val="19"/>
              </w:rPr>
              <w:t>CONTROLADOR (Controller)</w:t>
            </w:r>
          </w:p>
        </w:tc>
        <w:tc>
          <w:tcPr>
            <w:tcW w:type="dxa" w:w="2448"/>
            <w:tcMar>
              <w:top w:w="100" w:type="dxa"/>
              <w:bottom w:w="100" w:type="dxa"/>
              <w:left w:w="150" w:type="dxa"/>
              <w:right w:w="150" w:type="dxa"/>
            </w:tcMar>
            <w:shd w:fill="FFFFFF"/>
          </w:tcPr>
          <w:p>
            <w:pPr>
              <w:spacing w:before="40" w:after="40"/>
            </w:pPr>
            <w:r>
              <w:rPr>
                <w:color w:val="1F2937"/>
                <w:sz w:val="19"/>
              </w:rPr>
              <w:t>src/App.tsx y Solvers Hub</w:t>
            </w:r>
          </w:p>
        </w:tc>
        <w:tc>
          <w:tcPr>
            <w:tcW w:type="dxa" w:w="4320"/>
            <w:tcMar>
              <w:top w:w="100" w:type="dxa"/>
              <w:bottom w:w="100" w:type="dxa"/>
              <w:left w:w="150" w:type="dxa"/>
              <w:right w:w="150" w:type="dxa"/>
            </w:tcMar>
            <w:shd w:fill="FFFFFF"/>
          </w:tcPr>
          <w:p>
            <w:pPr>
              <w:spacing w:before="40" w:after="40"/>
            </w:pPr>
            <w:r>
              <w:rPr>
                <w:color w:val="1F2937"/>
                <w:sz w:val="19"/>
              </w:rPr>
              <w:t>Orquesta el flujo de la aplicación. Captura los eventos de entrada del usuario, invoca al LPParser, selecciona el solver apropiado, actualiza el estado reactivo con React Hooks y suministra los resultados inmutables a las Vistas.</w:t>
            </w:r>
          </w:p>
        </w:tc>
      </w:tr>
    </w:tbl>
    <w:p>
      <w:pPr>
        <w:spacing w:after="240"/>
      </w:pPr>
    </w:p>
    <w:p>
      <w:pPr>
        <w:pStyle w:val="Heading2"/>
      </w:pPr>
      <w:r>
        <w:rPr>
          <w:color w:val="1E3A8A"/>
        </w:rPr>
        <w:t>5.2. Otros Patrones de Diseño Implementados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tcMar>
              <w:top w:w="100" w:type="dxa"/>
              <w:bottom w:w="100" w:type="dxa"/>
              <w:left w:w="150" w:type="dxa"/>
              <w:right w:w="150" w:type="dxa"/>
            </w:tcMar>
            <w:shd w:fill="1E3A8A"/>
          </w:tcPr>
          <w:p>
            <w:pPr>
              <w:spacing w:before="60" w:after="60"/>
            </w:pPr>
            <w:r>
              <w:rPr>
                <w:b/>
                <w:color w:val="FFFFFF"/>
                <w:sz w:val="19"/>
              </w:rPr>
              <w:t>Patrón de Diseño</w:t>
            </w:r>
          </w:p>
        </w:tc>
        <w:tc>
          <w:tcPr>
            <w:tcW w:type="dxa" w:w="4608"/>
            <w:tcMar>
              <w:top w:w="100" w:type="dxa"/>
              <w:bottom w:w="100" w:type="dxa"/>
              <w:left w:w="150" w:type="dxa"/>
              <w:right w:w="150" w:type="dxa"/>
            </w:tcMar>
            <w:shd w:fill="1E3A8A"/>
          </w:tcPr>
          <w:p>
            <w:pPr>
              <w:spacing w:before="60" w:after="60"/>
            </w:pPr>
            <w:r>
              <w:rPr>
                <w:b/>
                <w:color w:val="FFFFFF"/>
                <w:sz w:val="19"/>
              </w:rPr>
              <w:t>Beneficio Técnico y Académico</w:t>
            </w:r>
          </w:p>
        </w:tc>
        <w:tc>
          <w:tcPr>
            <w:tcW w:type="dxa" w:w="2160"/>
            <w:tcMar>
              <w:top w:w="100" w:type="dxa"/>
              <w:bottom w:w="100" w:type="dxa"/>
              <w:left w:w="150" w:type="dxa"/>
              <w:right w:w="150" w:type="dxa"/>
            </w:tcMar>
            <w:shd w:fill="1E3A8A"/>
          </w:tcPr>
          <w:p>
            <w:pPr>
              <w:spacing w:before="60" w:after="60"/>
            </w:pPr>
            <w:r>
              <w:rPr>
                <w:b/>
                <w:color w:val="FFFFFF"/>
                <w:sz w:val="19"/>
              </w:rPr>
              <w:t>Archivos Donde se Aplica</w:t>
            </w:r>
          </w:p>
        </w:tc>
      </w:tr>
      <w:tr>
        <w:trPr>
          <w:cantSplit/>
        </w:trPr>
        <w:tc>
          <w:tcPr>
            <w:tcW w:type="dxa" w:w="2592"/>
            <w:tcMar>
              <w:top w:w="100" w:type="dxa"/>
              <w:bottom w:w="100" w:type="dxa"/>
              <w:left w:w="150" w:type="dxa"/>
              <w:right w:w="150" w:type="dxa"/>
            </w:tcMar>
            <w:shd w:fill="FFFFFF"/>
          </w:tcPr>
          <w:p>
            <w:pPr>
              <w:spacing w:before="40" w:after="40"/>
            </w:pPr>
            <w:r>
              <w:rPr>
                <w:color w:val="1F2937"/>
                <w:sz w:val="19"/>
              </w:rPr>
              <w:t>Strategy (Estrategia)</w:t>
            </w:r>
          </w:p>
        </w:tc>
        <w:tc>
          <w:tcPr>
            <w:tcW w:type="dxa" w:w="4608"/>
            <w:tcMar>
              <w:top w:w="100" w:type="dxa"/>
              <w:bottom w:w="100" w:type="dxa"/>
              <w:left w:w="150" w:type="dxa"/>
              <w:right w:w="150" w:type="dxa"/>
            </w:tcMar>
            <w:shd w:fill="FFFFFF"/>
          </w:tcPr>
          <w:p>
            <w:pPr>
              <w:spacing w:before="40" w:after="40"/>
            </w:pPr>
            <w:r>
              <w:rPr>
                <w:color w:val="1F2937"/>
                <w:sz w:val="19"/>
              </w:rPr>
              <w:t>Permite alternar en caliente el algoritmo de resolución: Método Gráfico vs Simplex, y dentro de Simplex: Simplex Estándar, Gran M o Dos Fases, manteniendo intacta la interfaz de comunicación.</w:t>
            </w:r>
          </w:p>
        </w:tc>
        <w:tc>
          <w:tcPr>
            <w:tcW w:type="dxa" w:w="2160"/>
            <w:tcMar>
              <w:top w:w="100" w:type="dxa"/>
              <w:bottom w:w="100" w:type="dxa"/>
              <w:left w:w="150" w:type="dxa"/>
              <w:right w:w="150" w:type="dxa"/>
            </w:tcMar>
            <w:shd w:fill="FFFFFF"/>
          </w:tcPr>
          <w:p>
            <w:pPr>
              <w:spacing w:before="40" w:after="40"/>
            </w:pPr>
            <w:r>
              <w:rPr>
                <w:color w:val="1F2937"/>
                <w:sz w:val="19"/>
              </w:rPr>
              <w:t>MethodSelector.tsx, simplexSolver.ts</w:t>
            </w:r>
          </w:p>
        </w:tc>
      </w:tr>
      <w:tr>
        <w:trPr>
          <w:cantSplit/>
        </w:trPr>
        <w:tc>
          <w:tcPr>
            <w:tcW w:type="dxa" w:w="2592"/>
            <w:tcMar>
              <w:top w:w="100" w:type="dxa"/>
              <w:bottom w:w="100" w:type="dxa"/>
              <w:left w:w="150" w:type="dxa"/>
              <w:right w:w="150" w:type="dxa"/>
            </w:tcMar>
            <w:shd w:fill="F8FAFC"/>
          </w:tcPr>
          <w:p>
            <w:pPr>
              <w:spacing w:before="40" w:after="40"/>
            </w:pPr>
            <w:r>
              <w:rPr>
                <w:color w:val="1F2937"/>
                <w:sz w:val="19"/>
              </w:rPr>
              <w:t>Value Object (Objeto de Valor)</w:t>
            </w:r>
          </w:p>
        </w:tc>
        <w:tc>
          <w:tcPr>
            <w:tcW w:type="dxa" w:w="4608"/>
            <w:tcMar>
              <w:top w:w="100" w:type="dxa"/>
              <w:bottom w:w="100" w:type="dxa"/>
              <w:left w:w="150" w:type="dxa"/>
              <w:right w:w="150" w:type="dxa"/>
            </w:tcMar>
            <w:shd w:fill="F8FAFC"/>
          </w:tcPr>
          <w:p>
            <w:pPr>
              <w:spacing w:before="40" w:after="40"/>
            </w:pPr>
            <w:r>
              <w:rPr>
                <w:color w:val="1F2937"/>
                <w:sz w:val="19"/>
              </w:rPr>
              <w:t>Fraction y BigMValue son objetos inmutables. Dos fracciones con el mismo valor son idénticas por contenido. Las operaciones matemáticas retornan instancias nuevas sin efectos colaterales.</w:t>
            </w:r>
          </w:p>
        </w:tc>
        <w:tc>
          <w:tcPr>
            <w:tcW w:type="dxa" w:w="2160"/>
            <w:tcMar>
              <w:top w:w="100" w:type="dxa"/>
              <w:bottom w:w="100" w:type="dxa"/>
              <w:left w:w="150" w:type="dxa"/>
              <w:right w:w="150" w:type="dxa"/>
            </w:tcMar>
            <w:shd w:fill="F8FAFC"/>
          </w:tcPr>
          <w:p>
            <w:pPr>
              <w:spacing w:before="40" w:after="40"/>
            </w:pPr>
            <w:r>
              <w:rPr>
                <w:color w:val="1F2937"/>
                <w:sz w:val="19"/>
              </w:rPr>
              <w:t>fraction.ts, bigM.ts</w:t>
            </w:r>
          </w:p>
        </w:tc>
      </w:tr>
      <w:tr>
        <w:trPr>
          <w:cantSplit/>
        </w:trPr>
        <w:tc>
          <w:tcPr>
            <w:tcW w:type="dxa" w:w="2592"/>
            <w:tcMar>
              <w:top w:w="100" w:type="dxa"/>
              <w:bottom w:w="100" w:type="dxa"/>
              <w:left w:w="150" w:type="dxa"/>
              <w:right w:w="150" w:type="dxa"/>
            </w:tcMar>
            <w:shd w:fill="FFFFFF"/>
          </w:tcPr>
          <w:p>
            <w:pPr>
              <w:spacing w:before="40" w:after="40"/>
            </w:pPr>
            <w:r>
              <w:rPr>
                <w:color w:val="1F2937"/>
                <w:sz w:val="19"/>
              </w:rPr>
              <w:t>Facade (Fachada)</w:t>
            </w:r>
          </w:p>
        </w:tc>
        <w:tc>
          <w:tcPr>
            <w:tcW w:type="dxa" w:w="4608"/>
            <w:tcMar>
              <w:top w:w="100" w:type="dxa"/>
              <w:bottom w:w="100" w:type="dxa"/>
              <w:left w:w="150" w:type="dxa"/>
              <w:right w:w="150" w:type="dxa"/>
            </w:tcMar>
            <w:shd w:fill="FFFFFF"/>
          </w:tcPr>
          <w:p>
            <w:pPr>
              <w:spacing w:before="40" w:after="40"/>
            </w:pPr>
            <w:r>
              <w:rPr>
                <w:color w:val="1F2937"/>
                <w:sz w:val="19"/>
              </w:rPr>
              <w:t>SimplexSolver.solve() y GraphicSolver.solve() unifican y ocultan la tremenda complejidad de la estandarización, matrices y pivoteo detrás de una llamada de función limpia.</w:t>
            </w:r>
          </w:p>
        </w:tc>
        <w:tc>
          <w:tcPr>
            <w:tcW w:type="dxa" w:w="2160"/>
            <w:tcMar>
              <w:top w:w="100" w:type="dxa"/>
              <w:bottom w:w="100" w:type="dxa"/>
              <w:left w:w="150" w:type="dxa"/>
              <w:right w:w="150" w:type="dxa"/>
            </w:tcMar>
            <w:shd w:fill="FFFFFF"/>
          </w:tcPr>
          <w:p>
            <w:pPr>
              <w:spacing w:before="40" w:after="40"/>
            </w:pPr>
            <w:r>
              <w:rPr>
                <w:color w:val="1F2937"/>
                <w:sz w:val="19"/>
              </w:rPr>
              <w:t>simplexSolver.ts, graphicSolver.ts</w:t>
            </w:r>
          </w:p>
        </w:tc>
      </w:tr>
      <w:tr>
        <w:trPr>
          <w:cantSplit/>
        </w:trPr>
        <w:tc>
          <w:tcPr>
            <w:tcW w:type="dxa" w:w="2592"/>
            <w:tcMar>
              <w:top w:w="100" w:type="dxa"/>
              <w:bottom w:w="100" w:type="dxa"/>
              <w:left w:w="150" w:type="dxa"/>
              <w:right w:w="150" w:type="dxa"/>
            </w:tcMar>
            <w:shd w:fill="F8FAFC"/>
          </w:tcPr>
          <w:p>
            <w:pPr>
              <w:spacing w:before="40" w:after="40"/>
            </w:pPr>
            <w:r>
              <w:rPr>
                <w:color w:val="1F2937"/>
                <w:sz w:val="19"/>
              </w:rPr>
              <w:t>Interpreter / Parser (Intérprete)</w:t>
            </w:r>
          </w:p>
        </w:tc>
        <w:tc>
          <w:tcPr>
            <w:tcW w:type="dxa" w:w="4608"/>
            <w:tcMar>
              <w:top w:w="100" w:type="dxa"/>
              <w:bottom w:w="100" w:type="dxa"/>
              <w:left w:w="150" w:type="dxa"/>
              <w:right w:w="150" w:type="dxa"/>
            </w:tcMar>
            <w:shd w:fill="F8FAFC"/>
          </w:tcPr>
          <w:p>
            <w:pPr>
              <w:spacing w:before="40" w:after="40"/>
            </w:pPr>
            <w:r>
              <w:rPr>
                <w:color w:val="1F2937"/>
                <w:sz w:val="19"/>
              </w:rPr>
              <w:t>LPParser analiza el texto ingresado en lenguaje natural por el usuario, reconoce tokens matemáticos (Max/Min, coeficientes, variables, operadores de desigualdad) y construye el objeto formal LPModel.</w:t>
            </w:r>
          </w:p>
        </w:tc>
        <w:tc>
          <w:tcPr>
            <w:tcW w:type="dxa" w:w="2160"/>
            <w:tcMar>
              <w:top w:w="100" w:type="dxa"/>
              <w:bottom w:w="100" w:type="dxa"/>
              <w:left w:w="150" w:type="dxa"/>
              <w:right w:w="150" w:type="dxa"/>
            </w:tcMar>
            <w:shd w:fill="F8FAFC"/>
          </w:tcPr>
          <w:p>
            <w:pPr>
              <w:spacing w:before="40" w:after="40"/>
            </w:pPr>
            <w:r>
              <w:rPr>
                <w:color w:val="1F2937"/>
                <w:sz w:val="19"/>
              </w:rPr>
              <w:t>lpParser.ts</w:t>
            </w:r>
          </w:p>
        </w:tc>
      </w:tr>
      <w:tr>
        <w:trPr>
          <w:cantSplit/>
        </w:trPr>
        <w:tc>
          <w:tcPr>
            <w:tcW w:type="dxa" w:w="2592"/>
            <w:tcMar>
              <w:top w:w="100" w:type="dxa"/>
              <w:bottom w:w="100" w:type="dxa"/>
              <w:left w:w="150" w:type="dxa"/>
              <w:right w:w="150" w:type="dxa"/>
            </w:tcMar>
            <w:shd w:fill="FFFFFF"/>
          </w:tcPr>
          <w:p>
            <w:pPr>
              <w:spacing w:before="40" w:after="40"/>
            </w:pPr>
            <w:r>
              <w:rPr>
                <w:color w:val="1F2937"/>
                <w:sz w:val="19"/>
              </w:rPr>
              <w:t>Observer (Observador)</w:t>
            </w:r>
          </w:p>
        </w:tc>
        <w:tc>
          <w:tcPr>
            <w:tcW w:type="dxa" w:w="4608"/>
            <w:tcMar>
              <w:top w:w="100" w:type="dxa"/>
              <w:bottom w:w="100" w:type="dxa"/>
              <w:left w:w="150" w:type="dxa"/>
              <w:right w:w="150" w:type="dxa"/>
            </w:tcMar>
            <w:shd w:fill="FFFFFF"/>
          </w:tcPr>
          <w:p>
            <w:pPr>
              <w:spacing w:before="40" w:after="40"/>
            </w:pPr>
            <w:r>
              <w:rPr>
                <w:color w:val="1F2937"/>
                <w:sz w:val="19"/>
              </w:rPr>
              <w:t>Implementado a través del paradigma reactivo de React (useState, useMemo). Cuando el modelo o el valor del slider de Z cambia, los componentes observadores actualizan automáticamente la interfaz.</w:t>
            </w:r>
          </w:p>
        </w:tc>
        <w:tc>
          <w:tcPr>
            <w:tcW w:type="dxa" w:w="2160"/>
            <w:tcMar>
              <w:top w:w="100" w:type="dxa"/>
              <w:bottom w:w="100" w:type="dxa"/>
              <w:left w:w="150" w:type="dxa"/>
              <w:right w:w="150" w:type="dxa"/>
            </w:tcMar>
            <w:shd w:fill="FFFFFF"/>
          </w:tcPr>
          <w:p>
            <w:pPr>
              <w:spacing w:before="40" w:after="40"/>
            </w:pPr>
            <w:r>
              <w:rPr>
                <w:color w:val="1F2937"/>
                <w:sz w:val="19"/>
              </w:rPr>
              <w:t>App.tsx, GraphicCanvas.tsx</w:t>
            </w:r>
          </w:p>
        </w:tc>
      </w:tr>
    </w:tbl>
    <w:p>
      <w:pPr>
        <w:spacing w:after="240"/>
      </w:pPr>
    </w:p>
    <w:p>
      <w:pPr>
        <w:pStyle w:val="Heading1"/>
      </w:pPr>
      <w:r>
        <w:rPr>
          <w:color w:val="0F172A"/>
        </w:rPr>
        <w:t>6. Estructura y Desglose Modular del Código Fuente</w:t>
      </w:r>
    </w:p>
    <w:p>
      <w:r>
        <w:t>A continuación se presenta el mapa completo de los archivos que integran la solución, con la explicación precisa de su función dentro del ecosistema:</w:t>
      </w:r>
    </w:p>
    <w:tbl>
      <w:tblPr>
        <w:tblW w:type="auto" w:w="0"/>
        <w:jc w:val="center"/>
        <w:tblLook w:firstColumn="1" w:firstRow="1" w:lastColumn="0" w:lastRow="0" w:noHBand="0" w:noVBand="1" w:val="04A0"/>
      </w:tblPr>
      <w:tblGrid>
        <w:gridCol w:w="4680"/>
        <w:gridCol w:w="4680"/>
      </w:tblGrid>
      <w:tr>
        <w:trPr>
          <w:cantSplit/>
          <w:tblHeader/>
        </w:trPr>
        <w:tc>
          <w:tcPr>
            <w:tcW w:type="dxa" w:w="3312"/>
            <w:tcMar>
              <w:top w:w="100" w:type="dxa"/>
              <w:bottom w:w="100" w:type="dxa"/>
              <w:left w:w="150" w:type="dxa"/>
              <w:right w:w="150" w:type="dxa"/>
            </w:tcMar>
            <w:shd w:fill="1E3A8A"/>
          </w:tcPr>
          <w:p>
            <w:pPr>
              <w:spacing w:before="60" w:after="60"/>
            </w:pPr>
            <w:r>
              <w:rPr>
                <w:b/>
                <w:color w:val="FFFFFF"/>
                <w:sz w:val="19"/>
              </w:rPr>
              <w:t>Archivo</w:t>
            </w:r>
          </w:p>
        </w:tc>
        <w:tc>
          <w:tcPr>
            <w:tcW w:type="dxa" w:w="6048"/>
            <w:tcMar>
              <w:top w:w="100" w:type="dxa"/>
              <w:bottom w:w="100" w:type="dxa"/>
              <w:left w:w="150" w:type="dxa"/>
              <w:right w:w="150" w:type="dxa"/>
            </w:tcMar>
            <w:shd w:fill="1E3A8A"/>
          </w:tcPr>
          <w:p>
            <w:pPr>
              <w:spacing w:before="60" w:after="60"/>
            </w:pPr>
            <w:r>
              <w:rPr>
                <w:b/>
                <w:color w:val="FFFFFF"/>
                <w:sz w:val="19"/>
              </w:rPr>
              <w:t>Descripción de Funcionalidad</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src/core/math/fraction.ts</w:t>
            </w:r>
          </w:p>
        </w:tc>
        <w:tc>
          <w:tcPr>
            <w:tcW w:type="dxa" w:w="6048"/>
            <w:tcMar>
              <w:top w:w="100" w:type="dxa"/>
              <w:bottom w:w="100" w:type="dxa"/>
              <w:left w:w="150" w:type="dxa"/>
              <w:right w:w="150" w:type="dxa"/>
            </w:tcMar>
            <w:shd w:fill="FFFFFF"/>
          </w:tcPr>
          <w:p>
            <w:pPr>
              <w:spacing w:before="40" w:after="40"/>
            </w:pPr>
            <w:r>
              <w:rPr>
                <w:color w:val="1F2937"/>
                <w:sz w:val="19"/>
              </w:rPr>
              <w:t>Motor de aritmética fraccionaria exacta con BigInt. Implementa el algoritmo de Euclides para reducción canónica, parseo de cadenas y formato KaTeX.</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src/core/math/bigM.ts</w:t>
            </w:r>
          </w:p>
        </w:tc>
        <w:tc>
          <w:tcPr>
            <w:tcW w:type="dxa" w:w="6048"/>
            <w:tcMar>
              <w:top w:w="100" w:type="dxa"/>
              <w:bottom w:w="100" w:type="dxa"/>
              <w:left w:w="150" w:type="dxa"/>
              <w:right w:w="150" w:type="dxa"/>
            </w:tcMar>
            <w:shd w:fill="F8FAFC"/>
          </w:tcPr>
          <w:p>
            <w:pPr>
              <w:spacing w:before="40" w:after="40"/>
            </w:pPr>
            <w:r>
              <w:rPr>
                <w:color w:val="1F2937"/>
                <w:sz w:val="19"/>
              </w:rPr>
              <w:t>Motor de álgebra simbólica dual c + m*M. Permite operar la penalización de la Gran M sin recurrir a aproximaciones numéricas flotantes.</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src/core/parser/lpTypes.ts</w:t>
            </w:r>
          </w:p>
        </w:tc>
        <w:tc>
          <w:tcPr>
            <w:tcW w:type="dxa" w:w="6048"/>
            <w:tcMar>
              <w:top w:w="100" w:type="dxa"/>
              <w:bottom w:w="100" w:type="dxa"/>
              <w:left w:w="150" w:type="dxa"/>
              <w:right w:w="150" w:type="dxa"/>
            </w:tcMar>
            <w:shd w:fill="FFFFFF"/>
          </w:tcPr>
          <w:p>
            <w:pPr>
              <w:spacing w:before="40" w:after="40"/>
            </w:pPr>
            <w:r>
              <w:rPr>
                <w:color w:val="1F2937"/>
                <w:sz w:val="19"/>
              </w:rPr>
              <w:t>Definición de tipos e interfaces TypeScript para el modelo de optimización lineal (LPModel, LPConstraint, ObjectiveType).</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src/core/parser/lpParser.ts</w:t>
            </w:r>
          </w:p>
        </w:tc>
        <w:tc>
          <w:tcPr>
            <w:tcW w:type="dxa" w:w="6048"/>
            <w:tcMar>
              <w:top w:w="100" w:type="dxa"/>
              <w:bottom w:w="100" w:type="dxa"/>
              <w:left w:w="150" w:type="dxa"/>
              <w:right w:w="150" w:type="dxa"/>
            </w:tcMar>
            <w:shd w:fill="F8FAFC"/>
          </w:tcPr>
          <w:p>
            <w:pPr>
              <w:spacing w:before="40" w:after="40"/>
            </w:pPr>
            <w:r>
              <w:rPr>
                <w:color w:val="1F2937"/>
                <w:sz w:val="19"/>
              </w:rPr>
              <w:t>Analizador sintáctico que convierte texto matemático libre en objetos de dominio LPModel, normalizando los términos independientes b_i &gt;= 0.</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src/core/simplex/simplexTypes.ts</w:t>
            </w:r>
          </w:p>
        </w:tc>
        <w:tc>
          <w:tcPr>
            <w:tcW w:type="dxa" w:w="6048"/>
            <w:tcMar>
              <w:top w:w="100" w:type="dxa"/>
              <w:bottom w:w="100" w:type="dxa"/>
              <w:left w:w="150" w:type="dxa"/>
              <w:right w:w="150" w:type="dxa"/>
            </w:tcMar>
            <w:shd w:fill="FFFFFF"/>
          </w:tcPr>
          <w:p>
            <w:pPr>
              <w:spacing w:before="40" w:after="40"/>
            </w:pPr>
            <w:r>
              <w:rPr>
                <w:color w:val="1F2937"/>
                <w:sz w:val="19"/>
              </w:rPr>
              <w:t>Estructuras matriciales para tablas Simplex, pasos de pivoteo de Gauss-Jordan y diagnóstico de estados de optimalidad.</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src/core/simplex/bigMSimplex.ts</w:t>
            </w:r>
          </w:p>
        </w:tc>
        <w:tc>
          <w:tcPr>
            <w:tcW w:type="dxa" w:w="6048"/>
            <w:tcMar>
              <w:top w:w="100" w:type="dxa"/>
              <w:bottom w:w="100" w:type="dxa"/>
              <w:left w:w="150" w:type="dxa"/>
              <w:right w:w="150" w:type="dxa"/>
            </w:tcMar>
            <w:shd w:fill="F8FAFC"/>
          </w:tcPr>
          <w:p>
            <w:pPr>
              <w:spacing w:before="40" w:after="40"/>
            </w:pPr>
            <w:r>
              <w:rPr>
                <w:color w:val="1F2937"/>
                <w:sz w:val="19"/>
              </w:rPr>
              <w:t>Implementación completa del algoritmo Simplex Estándar y Método de la Gran M, registrando detalladamente cada iteración.</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src/core/simplex/twoPhaseSimplex.ts</w:t>
            </w:r>
          </w:p>
        </w:tc>
        <w:tc>
          <w:tcPr>
            <w:tcW w:type="dxa" w:w="6048"/>
            <w:tcMar>
              <w:top w:w="100" w:type="dxa"/>
              <w:bottom w:w="100" w:type="dxa"/>
              <w:left w:w="150" w:type="dxa"/>
              <w:right w:w="150" w:type="dxa"/>
            </w:tcMar>
            <w:shd w:fill="FFFFFF"/>
          </w:tcPr>
          <w:p>
            <w:pPr>
              <w:spacing w:before="40" w:after="40"/>
            </w:pPr>
            <w:r>
              <w:rPr>
                <w:color w:val="1F2937"/>
                <w:sz w:val="19"/>
              </w:rPr>
              <w:t>Implementación del Método de las Dos Fases con auditoría y generación de pasos para la minimización de artificiales y optimización de Z.</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src/core/simplex/simplexSolver.ts</w:t>
            </w:r>
          </w:p>
        </w:tc>
        <w:tc>
          <w:tcPr>
            <w:tcW w:type="dxa" w:w="6048"/>
            <w:tcMar>
              <w:top w:w="100" w:type="dxa"/>
              <w:bottom w:w="100" w:type="dxa"/>
              <w:left w:w="150" w:type="dxa"/>
              <w:right w:w="150" w:type="dxa"/>
            </w:tcMar>
            <w:shd w:fill="F8FAFC"/>
          </w:tcPr>
          <w:p>
            <w:pPr>
              <w:spacing w:before="40" w:after="40"/>
            </w:pPr>
            <w:r>
              <w:rPr>
                <w:color w:val="1F2937"/>
                <w:sz w:val="19"/>
              </w:rPr>
              <w:t>Fachada y despachador de estrategias Simplex que selecciona automáticamente entre Estándar, Gran M o Dos Fases.</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src/core/graphic/graphicTypes.ts</w:t>
            </w:r>
          </w:p>
        </w:tc>
        <w:tc>
          <w:tcPr>
            <w:tcW w:type="dxa" w:w="6048"/>
            <w:tcMar>
              <w:top w:w="100" w:type="dxa"/>
              <w:bottom w:w="100" w:type="dxa"/>
              <w:left w:w="150" w:type="dxa"/>
              <w:right w:w="150" w:type="dxa"/>
            </w:tcMar>
            <w:shd w:fill="FFFFFF"/>
          </w:tcPr>
          <w:p>
            <w:pPr>
              <w:spacing w:before="40" w:after="40"/>
            </w:pPr>
            <w:r>
              <w:rPr>
                <w:color w:val="1F2937"/>
                <w:sz w:val="19"/>
              </w:rPr>
              <w:t>Estructuras de datos para el plano cartesiano 2D, rectas de restricción, vértices y polígono convexo factible.</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src/core/graphic/graphicSolver.ts</w:t>
            </w:r>
          </w:p>
        </w:tc>
        <w:tc>
          <w:tcPr>
            <w:tcW w:type="dxa" w:w="6048"/>
            <w:tcMar>
              <w:top w:w="100" w:type="dxa"/>
              <w:bottom w:w="100" w:type="dxa"/>
              <w:left w:w="150" w:type="dxa"/>
              <w:right w:w="150" w:type="dxa"/>
            </w:tcMar>
            <w:shd w:fill="F8FAFC"/>
          </w:tcPr>
          <w:p>
            <w:pPr>
              <w:spacing w:before="40" w:after="40"/>
            </w:pPr>
            <w:r>
              <w:rPr>
                <w:color w:val="1F2937"/>
                <w:sz w:val="19"/>
              </w:rPr>
              <w:t>Solucionador gráfico 2D. Resuelve intersecciones con la Regla de Cramer, ordena polígonos por centroide polar y genera los 5 pasos analíticos.</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src/core/presets.ts</w:t>
            </w:r>
          </w:p>
        </w:tc>
        <w:tc>
          <w:tcPr>
            <w:tcW w:type="dxa" w:w="6048"/>
            <w:tcMar>
              <w:top w:w="100" w:type="dxa"/>
              <w:bottom w:w="100" w:type="dxa"/>
              <w:left w:w="150" w:type="dxa"/>
              <w:right w:w="150" w:type="dxa"/>
            </w:tcMar>
            <w:shd w:fill="FFFFFF"/>
          </w:tcPr>
          <w:p>
            <w:pPr>
              <w:spacing w:before="40" w:after="40"/>
            </w:pPr>
            <w:r>
              <w:rPr>
                <w:color w:val="1F2937"/>
                <w:sz w:val="19"/>
              </w:rPr>
              <w:t>Catálogo con 7 problemas clásicos emblemáticos de la bibliografía de Investigación de Operaciones listos para demostración interactiva.</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src/components/GraphicView/GraphicCanvas.tsx</w:t>
            </w:r>
          </w:p>
        </w:tc>
        <w:tc>
          <w:tcPr>
            <w:tcW w:type="dxa" w:w="6048"/>
            <w:tcMar>
              <w:top w:w="100" w:type="dxa"/>
              <w:bottom w:w="100" w:type="dxa"/>
              <w:left w:w="150" w:type="dxa"/>
              <w:right w:w="150" w:type="dxa"/>
            </w:tcMar>
            <w:shd w:fill="F8FAFC"/>
          </w:tcPr>
          <w:p>
            <w:pPr>
              <w:spacing w:before="40" w:after="40"/>
            </w:pPr>
            <w:r>
              <w:rPr>
                <w:color w:val="1F2937"/>
                <w:sz w:val="19"/>
              </w:rPr>
              <w:t>Lienzo interactivo en HTML5 Canvas con zoom, cuadrícula, semiplanos coloreados, polígono factible y slider animado de la recta Z.</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src/components/GraphicView/GraphicVerticesTable.tsx</w:t>
            </w:r>
          </w:p>
        </w:tc>
        <w:tc>
          <w:tcPr>
            <w:tcW w:type="dxa" w:w="6048"/>
            <w:tcMar>
              <w:top w:w="100" w:type="dxa"/>
              <w:bottom w:w="100" w:type="dxa"/>
              <w:left w:w="150" w:type="dxa"/>
              <w:right w:w="150" w:type="dxa"/>
            </w:tcMar>
            <w:shd w:fill="FFFFFF"/>
          </w:tcPr>
          <w:p>
            <w:pPr>
              <w:spacing w:before="40" w:after="40"/>
            </w:pPr>
            <w:r>
              <w:rPr>
                <w:color w:val="1F2937"/>
                <w:sz w:val="19"/>
              </w:rPr>
              <w:t>Tabla de evaluación comparativa de coordenadas y valores de Z en cada vértice extremo del polígono.</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src/components/GraphicView/GraphicStepsView.tsx</w:t>
            </w:r>
          </w:p>
        </w:tc>
        <w:tc>
          <w:tcPr>
            <w:tcW w:type="dxa" w:w="6048"/>
            <w:tcMar>
              <w:top w:w="100" w:type="dxa"/>
              <w:bottom w:w="100" w:type="dxa"/>
              <w:left w:w="150" w:type="dxa"/>
              <w:right w:w="150" w:type="dxa"/>
            </w:tcMar>
            <w:shd w:fill="F8FAFC"/>
          </w:tcPr>
          <w:p>
            <w:pPr>
              <w:spacing w:before="40" w:after="40"/>
            </w:pPr>
            <w:r>
              <w:rPr>
                <w:color w:val="1F2937"/>
                <w:sz w:val="19"/>
              </w:rPr>
              <w:t>Vista estructurada de los 5 pasos analíticos del Método Gráfico con fórmulas matemáticas en KaTeX.</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src/components/SimplexView/SimplexTableau.tsx</w:t>
            </w:r>
          </w:p>
        </w:tc>
        <w:tc>
          <w:tcPr>
            <w:tcW w:type="dxa" w:w="6048"/>
            <w:tcMar>
              <w:top w:w="100" w:type="dxa"/>
              <w:bottom w:w="100" w:type="dxa"/>
              <w:left w:w="150" w:type="dxa"/>
              <w:right w:w="150" w:type="dxa"/>
            </w:tcMar>
            <w:shd w:fill="FFFFFF"/>
          </w:tcPr>
          <w:p>
            <w:pPr>
              <w:spacing w:before="40" w:after="40"/>
            </w:pPr>
            <w:r>
              <w:rPr>
                <w:color w:val="1F2937"/>
                <w:sz w:val="19"/>
              </w:rPr>
              <w:t>Tabla matricial interactiva del Simplex con resaltado cromático de fila pivote, columna pivote y elemento pivote.</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src/components/SimplexView/SimplexStepCard.tsx</w:t>
            </w:r>
          </w:p>
        </w:tc>
        <w:tc>
          <w:tcPr>
            <w:tcW w:type="dxa" w:w="6048"/>
            <w:tcMar>
              <w:top w:w="100" w:type="dxa"/>
              <w:bottom w:w="100" w:type="dxa"/>
              <w:left w:w="150" w:type="dxa"/>
              <w:right w:w="150" w:type="dxa"/>
            </w:tcMar>
            <w:shd w:fill="F8FAFC"/>
          </w:tcPr>
          <w:p>
            <w:pPr>
              <w:spacing w:before="40" w:after="40"/>
            </w:pPr>
            <w:r>
              <w:rPr>
                <w:color w:val="1F2937"/>
                <w:sz w:val="19"/>
              </w:rPr>
              <w:t>Tarjeta que describe cada iteración de Gauss-Jordan con explicaciones detalladas y operaciones fila por fila.</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src/components/SimplexView/SimplexSolutionView.tsx</w:t>
            </w:r>
          </w:p>
        </w:tc>
        <w:tc>
          <w:tcPr>
            <w:tcW w:type="dxa" w:w="6048"/>
            <w:tcMar>
              <w:top w:w="100" w:type="dxa"/>
              <w:bottom w:w="100" w:type="dxa"/>
              <w:left w:w="150" w:type="dxa"/>
              <w:right w:w="150" w:type="dxa"/>
            </w:tcMar>
            <w:shd w:fill="FFFFFF"/>
          </w:tcPr>
          <w:p>
            <w:pPr>
              <w:spacing w:before="40" w:after="40"/>
            </w:pPr>
            <w:r>
              <w:rPr>
                <w:color w:val="1F2937"/>
                <w:sz w:val="19"/>
              </w:rPr>
              <w:t>Vista completa de la solución Simplex: resumen final, valores óptimos de variables y acordeón de pasos iterativos.</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src/components/ProblemInput.tsx</w:t>
            </w:r>
          </w:p>
        </w:tc>
        <w:tc>
          <w:tcPr>
            <w:tcW w:type="dxa" w:w="6048"/>
            <w:tcMar>
              <w:top w:w="100" w:type="dxa"/>
              <w:bottom w:w="100" w:type="dxa"/>
              <w:left w:w="150" w:type="dxa"/>
              <w:right w:w="150" w:type="dxa"/>
            </w:tcMar>
            <w:shd w:fill="F8FAFC"/>
          </w:tcPr>
          <w:p>
            <w:pPr>
              <w:spacing w:before="40" w:after="40"/>
            </w:pPr>
            <w:r>
              <w:rPr>
                <w:color w:val="1F2937"/>
                <w:sz w:val="19"/>
              </w:rPr>
              <w:t>Editor dual para el ingreso de problemas: modo texto libre natural o constructor visual mediante formulario interactivo.</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src/components/MethodSelector.tsx</w:t>
            </w:r>
          </w:p>
        </w:tc>
        <w:tc>
          <w:tcPr>
            <w:tcW w:type="dxa" w:w="6048"/>
            <w:tcMar>
              <w:top w:w="100" w:type="dxa"/>
              <w:bottom w:w="100" w:type="dxa"/>
              <w:left w:w="150" w:type="dxa"/>
              <w:right w:w="150" w:type="dxa"/>
            </w:tcMar>
            <w:shd w:fill="FFFFFF"/>
          </w:tcPr>
          <w:p>
            <w:pPr>
              <w:spacing w:before="40" w:after="40"/>
            </w:pPr>
            <w:r>
              <w:rPr>
                <w:color w:val="1F2937"/>
                <w:sz w:val="19"/>
              </w:rPr>
              <w:t>Barra de navegación para alternar entre Método Gráfico y Método Simplex (con selector de Gran M vs Dos Fases).</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src/components/PresetsModal.tsx</w:t>
            </w:r>
          </w:p>
        </w:tc>
        <w:tc>
          <w:tcPr>
            <w:tcW w:type="dxa" w:w="6048"/>
            <w:tcMar>
              <w:top w:w="100" w:type="dxa"/>
              <w:bottom w:w="100" w:type="dxa"/>
              <w:left w:w="150" w:type="dxa"/>
              <w:right w:w="150" w:type="dxa"/>
            </w:tcMar>
            <w:shd w:fill="F8FAFC"/>
          </w:tcPr>
          <w:p>
            <w:pPr>
              <w:spacing w:before="40" w:after="40"/>
            </w:pPr>
            <w:r>
              <w:rPr>
                <w:color w:val="1F2937"/>
                <w:sz w:val="19"/>
              </w:rPr>
              <w:t>Ventana modal para explorar y cargar los problemas clásicos preestablecidos.</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src/components/LatexMath.tsx</w:t>
            </w:r>
          </w:p>
        </w:tc>
        <w:tc>
          <w:tcPr>
            <w:tcW w:type="dxa" w:w="6048"/>
            <w:tcMar>
              <w:top w:w="100" w:type="dxa"/>
              <w:bottom w:w="100" w:type="dxa"/>
              <w:left w:w="150" w:type="dxa"/>
              <w:right w:w="150" w:type="dxa"/>
            </w:tcMar>
            <w:shd w:fill="FFFFFF"/>
          </w:tcPr>
          <w:p>
            <w:pPr>
              <w:spacing w:before="40" w:after="40"/>
            </w:pPr>
            <w:r>
              <w:rPr>
                <w:color w:val="1F2937"/>
                <w:sz w:val="19"/>
              </w:rPr>
              <w:t>Componente envoltorio para el renderizado tipográfico de fórmulas matemáticas con KaTeX.</w:t>
            </w:r>
          </w:p>
        </w:tc>
      </w:tr>
      <w:tr>
        <w:trPr>
          <w:cantSplit/>
        </w:trPr>
        <w:tc>
          <w:tcPr>
            <w:tcW w:type="dxa" w:w="3312"/>
            <w:tcMar>
              <w:top w:w="100" w:type="dxa"/>
              <w:bottom w:w="100" w:type="dxa"/>
              <w:left w:w="150" w:type="dxa"/>
              <w:right w:w="150" w:type="dxa"/>
            </w:tcMar>
            <w:shd w:fill="F8FAFC"/>
          </w:tcPr>
          <w:p>
            <w:pPr>
              <w:spacing w:before="40" w:after="40"/>
            </w:pPr>
            <w:r>
              <w:rPr>
                <w:color w:val="1F2937"/>
                <w:sz w:val="19"/>
              </w:rPr>
              <w:t>src/components/Header.tsx</w:t>
            </w:r>
          </w:p>
        </w:tc>
        <w:tc>
          <w:tcPr>
            <w:tcW w:type="dxa" w:w="6048"/>
            <w:tcMar>
              <w:top w:w="100" w:type="dxa"/>
              <w:bottom w:w="100" w:type="dxa"/>
              <w:left w:w="150" w:type="dxa"/>
              <w:right w:w="150" w:type="dxa"/>
            </w:tcMar>
            <w:shd w:fill="F8FAFC"/>
          </w:tcPr>
          <w:p>
            <w:pPr>
              <w:spacing w:before="40" w:after="40"/>
            </w:pPr>
            <w:r>
              <w:rPr>
                <w:color w:val="1F2937"/>
                <w:sz w:val="19"/>
              </w:rPr>
              <w:t>Barra superior con información del sistema, botón de impresión/exportación a PDF y acceso a presets.</w:t>
            </w:r>
          </w:p>
        </w:tc>
      </w:tr>
      <w:tr>
        <w:trPr>
          <w:cantSplit/>
        </w:trPr>
        <w:tc>
          <w:tcPr>
            <w:tcW w:type="dxa" w:w="3312"/>
            <w:tcMar>
              <w:top w:w="100" w:type="dxa"/>
              <w:bottom w:w="100" w:type="dxa"/>
              <w:left w:w="150" w:type="dxa"/>
              <w:right w:w="150" w:type="dxa"/>
            </w:tcMar>
            <w:shd w:fill="FFFFFF"/>
          </w:tcPr>
          <w:p>
            <w:pPr>
              <w:spacing w:before="40" w:after="40"/>
            </w:pPr>
            <w:r>
              <w:rPr>
                <w:color w:val="1F2937"/>
                <w:sz w:val="19"/>
              </w:rPr>
              <w:t>src/App.tsx</w:t>
            </w:r>
          </w:p>
        </w:tc>
        <w:tc>
          <w:tcPr>
            <w:tcW w:type="dxa" w:w="6048"/>
            <w:tcMar>
              <w:top w:w="100" w:type="dxa"/>
              <w:bottom w:w="100" w:type="dxa"/>
              <w:left w:w="150" w:type="dxa"/>
              <w:right w:w="150" w:type="dxa"/>
            </w:tcMar>
            <w:shd w:fill="FFFFFF"/>
          </w:tcPr>
          <w:p>
            <w:pPr>
              <w:spacing w:before="40" w:after="40"/>
            </w:pPr>
            <w:r>
              <w:rPr>
                <w:color w:val="1F2937"/>
                <w:sz w:val="19"/>
              </w:rPr>
              <w:t>Componente raíz y Controlador Principal que orquesta el estado reactivo global, sincroniza modelos y distribuye datos.</w:t>
            </w:r>
          </w:p>
        </w:tc>
      </w:tr>
    </w:tbl>
    <w:p>
      <w:pPr>
        <w:spacing w:after="240"/>
      </w:pPr>
    </w:p>
    <w:p>
      <w:pPr>
        <w:pStyle w:val="Heading1"/>
      </w:pPr>
      <w:r>
        <w:rPr>
          <w:color w:val="0F172A"/>
        </w:rPr>
        <w:t>7. Catálogo de Casos de Estudio Resueltos</w:t>
      </w:r>
    </w:p>
    <w:p>
      <w:pPr>
        <w:pStyle w:val="Heading2"/>
      </w:pPr>
      <w:r>
        <w:rPr>
          <w:color w:val="1E3A8A"/>
        </w:rPr>
        <w:t>Caso 1: Producción y Maximización Estándar (2D)</w:t>
      </w:r>
    </w:p>
    <w:tbl>
      <w:tblPr>
        <w:tblW w:type="auto" w:w="0"/>
        <w:jc w:val="center"/>
        <w:tblLook w:firstColumn="1" w:firstRow="1" w:lastColumn="0" w:lastRow="0" w:noHBand="0" w:noVBand="1" w:val="04A0"/>
      </w:tblPr>
      <w:tblGrid>
        <w:gridCol w:w="4680"/>
        <w:gridCol w:w="4680"/>
      </w:tblGrid>
      <w:tr>
        <w:trPr>
          <w:cantSplit/>
          <w:tblHeader/>
        </w:trPr>
        <w:tc>
          <w:tcPr>
            <w:tcW w:type="dxa" w:w="3600"/>
            <w:shd w:fill="F8FAFC"/>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Modelo Matemático:</w:t>
              <w:br/>
              <w:t>Max Z = 3x1 + 5x2</w:t>
              <w:br/>
              <w:t>s.a.</w:t>
              <w:br/>
              <w:t>x1 &lt;= 4</w:t>
              <w:br/>
              <w:t>2x2 &lt;= 12</w:t>
              <w:br/>
              <w:t>3x1 + 2x2 &lt;= 18</w:t>
              <w:br/>
              <w:t>x1, x2 &gt;= 0</w:t>
            </w:r>
          </w:p>
        </w:tc>
        <w:tc>
          <w:tcPr>
            <w:tcW w:type="dxa" w:w="5760"/>
            <w:shd w:fill="FFFFFF"/>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Análisis Pedagógico:</w:t>
              <w:br/>
              <w:t>Problema clásico de producción de mesas (x1) y sillas (x2). Todas las restricciones son de tipo '&lt;=' con términos independientes positivos. Permite comparar visualmente el polígono en el Método Gráfico con las tablas del Simplex Estándar.</w:t>
              <w:br/>
              <w:br/>
              <w:t>Solución Óptima Obtenida:</w:t>
              <w:br/>
              <w:t>x1* = 2, x2* = 6, con un Beneficio Máximo Z* = 36.</w:t>
            </w:r>
          </w:p>
        </w:tc>
      </w:tr>
    </w:tbl>
    <w:p>
      <w:pPr>
        <w:spacing w:after="160"/>
      </w:pPr>
    </w:p>
    <w:p>
      <w:pPr>
        <w:pStyle w:val="Heading2"/>
      </w:pPr>
      <w:r>
        <w:rPr>
          <w:color w:val="1E3A8A"/>
        </w:rPr>
        <w:t>Caso 2: Problema de la Dieta (Minimización con Gran M y Dos Fases)</w:t>
      </w:r>
    </w:p>
    <w:tbl>
      <w:tblPr>
        <w:tblW w:type="auto" w:w="0"/>
        <w:jc w:val="center"/>
        <w:tblLook w:firstColumn="1" w:firstRow="1" w:lastColumn="0" w:lastRow="0" w:noHBand="0" w:noVBand="1" w:val="04A0"/>
      </w:tblPr>
      <w:tblGrid>
        <w:gridCol w:w="4680"/>
        <w:gridCol w:w="4680"/>
      </w:tblGrid>
      <w:tr>
        <w:trPr>
          <w:cantSplit/>
          <w:tblHeader/>
        </w:trPr>
        <w:tc>
          <w:tcPr>
            <w:tcW w:type="dxa" w:w="3600"/>
            <w:shd w:fill="F8FAFC"/>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Modelo Matemático:</w:t>
              <w:br/>
              <w:t>Min Z = 2x1 + 3x2</w:t>
              <w:br/>
              <w:t>s.a.</w:t>
              <w:br/>
              <w:t>x1 + x2 &gt;= 5</w:t>
              <w:br/>
              <w:t>x1 + 2x2 &gt;= 6</w:t>
              <w:br/>
              <w:t>x1, x2 &gt;= 0</w:t>
            </w:r>
          </w:p>
        </w:tc>
        <w:tc>
          <w:tcPr>
            <w:tcW w:type="dxa" w:w="5760"/>
            <w:shd w:fill="FFFFFF"/>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Análisis Pedagógico:</w:t>
              <w:br/>
              <w:t>Requerimientos nutricionales mínimos que generan restricciones de tipo '&gt;='. Requiere restar variables de exceso y sumar variables artificiales. Muestra la expulsión paulatina de las artificiales mediante la penalización +M o la minimización auxiliar de Fase 1.</w:t>
              <w:br/>
              <w:br/>
              <w:t>Solución Óptima Obtenida:</w:t>
              <w:br/>
              <w:t>x1* = 4, x2* = 1, con un Costo Mínimo Z* = 11.</w:t>
            </w:r>
          </w:p>
        </w:tc>
      </w:tr>
    </w:tbl>
    <w:p>
      <w:pPr>
        <w:spacing w:after="160"/>
      </w:pPr>
    </w:p>
    <w:p>
      <w:pPr>
        <w:pStyle w:val="Heading2"/>
      </w:pPr>
      <w:r>
        <w:rPr>
          <w:color w:val="1E3A8A"/>
        </w:rPr>
        <w:t>Caso 3: Mezcla Química con Restricción de Igualdad (Dos Fases)</w:t>
      </w:r>
    </w:p>
    <w:tbl>
      <w:tblPr>
        <w:tblW w:type="auto" w:w="0"/>
        <w:jc w:val="center"/>
        <w:tblLook w:firstColumn="1" w:firstRow="1" w:lastColumn="0" w:lastRow="0" w:noHBand="0" w:noVBand="1" w:val="04A0"/>
      </w:tblPr>
      <w:tblGrid>
        <w:gridCol w:w="4680"/>
        <w:gridCol w:w="4680"/>
      </w:tblGrid>
      <w:tr>
        <w:trPr>
          <w:cantSplit/>
          <w:tblHeader/>
        </w:trPr>
        <w:tc>
          <w:tcPr>
            <w:tcW w:type="dxa" w:w="3600"/>
            <w:shd w:fill="F8FAFC"/>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Modelo Matemático:</w:t>
              <w:br/>
              <w:t>Min Z = 4x1 + x2</w:t>
              <w:br/>
              <w:t>s.a.</w:t>
              <w:br/>
              <w:t>3x1 + x2 = 3</w:t>
              <w:br/>
              <w:t>4x1 + 3x2 &gt;= 6</w:t>
              <w:br/>
              <w:t>x1 + 2x2 &lt;= 4</w:t>
              <w:br/>
              <w:t>x1, x2 &gt;= 0</w:t>
            </w:r>
          </w:p>
        </w:tc>
        <w:tc>
          <w:tcPr>
            <w:tcW w:type="dxa" w:w="5760"/>
            <w:shd w:fill="FFFFFF"/>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Análisis Pedagógico:</w:t>
              <w:br/>
              <w:t>Combina los tres tipos de restricciones: igualdad pura (=), mayor o igual (&gt;=) y menor o igual (&lt;=). Es el caso paradigmático para examinar cómo la Fase 1 encuentra la factibilidad inicial y la Fase 2 optimiza la función objetivo real.</w:t>
              <w:br/>
              <w:br/>
              <w:t>Solución Óptima Obtenida:</w:t>
              <w:br/>
              <w:t>x1* = 2/5, x2* = 9/5, con un Costo Mínimo Z* = 17/5 (3.4).</w:t>
            </w:r>
          </w:p>
        </w:tc>
      </w:tr>
    </w:tbl>
    <w:p>
      <w:pPr>
        <w:spacing w:after="160"/>
      </w:pPr>
    </w:p>
    <w:p>
      <w:pPr>
        <w:pStyle w:val="Heading2"/>
      </w:pPr>
      <w:r>
        <w:rPr>
          <w:color w:val="1E3A8A"/>
        </w:rPr>
        <w:t>Caso 4: Soluciones Óptimas Múltiples (Segmento de Óptimos)</w:t>
      </w:r>
    </w:p>
    <w:tbl>
      <w:tblPr>
        <w:tblW w:type="auto" w:w="0"/>
        <w:jc w:val="center"/>
        <w:tblLook w:firstColumn="1" w:firstRow="1" w:lastColumn="0" w:lastRow="0" w:noHBand="0" w:noVBand="1" w:val="04A0"/>
      </w:tblPr>
      <w:tblGrid>
        <w:gridCol w:w="4680"/>
        <w:gridCol w:w="4680"/>
      </w:tblGrid>
      <w:tr>
        <w:trPr>
          <w:cantSplit/>
          <w:tblHeader/>
        </w:trPr>
        <w:tc>
          <w:tcPr>
            <w:tcW w:type="dxa" w:w="3600"/>
            <w:shd w:fill="F8FAFC"/>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Modelo Matemático:</w:t>
              <w:br/>
              <w:t>Max Z = 2x1 + 4x2</w:t>
              <w:br/>
              <w:t>s.a.</w:t>
              <w:br/>
              <w:t>x1 + 2x2 &lt;= 10</w:t>
              <w:br/>
              <w:t>x1 + x2 &lt;= 6</w:t>
              <w:br/>
              <w:t>x1, x2 &gt;= 0</w:t>
            </w:r>
          </w:p>
        </w:tc>
        <w:tc>
          <w:tcPr>
            <w:tcW w:type="dxa" w:w="5760"/>
            <w:shd w:fill="FFFFFF"/>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Análisis Pedagógico:</w:t>
              <w:br/>
              <w:t>La función objetivo tiene pendiente m = -1/2, exactamente idéntica a la restricción x1 + 2x2 &lt;= 10. En el método gráfico se observa que la recta Z coincide con toda la arista frontera. En Simplex, la tabla óptima muestra un costo reducido de cero en una variable no básica.</w:t>
              <w:br/>
              <w:br/>
              <w:t>Solución Óptima Obtenida:</w:t>
              <w:br/>
              <w:t>Z* = 20 en los vértices extremos (2, 4) y (0, 5), y en cualquier combinación convexa intermedia.</w:t>
            </w:r>
          </w:p>
        </w:tc>
      </w:tr>
    </w:tbl>
    <w:p>
      <w:pPr>
        <w:spacing w:after="160"/>
      </w:pPr>
    </w:p>
    <w:p>
      <w:pPr>
        <w:pStyle w:val="Heading2"/>
      </w:pPr>
      <w:r>
        <w:rPr>
          <w:color w:val="1E3A8A"/>
        </w:rPr>
        <w:t>Caso 5: Problema Multivariable de 3 Dimensiones</w:t>
      </w:r>
    </w:p>
    <w:tbl>
      <w:tblPr>
        <w:tblW w:type="auto" w:w="0"/>
        <w:jc w:val="center"/>
        <w:tblLook w:firstColumn="1" w:firstRow="1" w:lastColumn="0" w:lastRow="0" w:noHBand="0" w:noVBand="1" w:val="04A0"/>
      </w:tblPr>
      <w:tblGrid>
        <w:gridCol w:w="4680"/>
        <w:gridCol w:w="4680"/>
      </w:tblGrid>
      <w:tr>
        <w:trPr>
          <w:cantSplit/>
          <w:tblHeader/>
        </w:trPr>
        <w:tc>
          <w:tcPr>
            <w:tcW w:type="dxa" w:w="3600"/>
            <w:shd w:fill="F8FAFC"/>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Modelo Matemático:</w:t>
              <w:br/>
              <w:t>Max Z = 50x1 + 30x2 + 80x3</w:t>
              <w:br/>
              <w:t>s.a.</w:t>
              <w:br/>
              <w:t>x1 + 2x2 + x3 &lt;= 120</w:t>
              <w:br/>
              <w:t>2x1 + x2 + 3x3 &lt;= 180</w:t>
              <w:br/>
              <w:t>x1 + x2 + x3 &lt;= 100</w:t>
              <w:br/>
              <w:t>x1, x2, x3 &gt;= 0</w:t>
            </w:r>
          </w:p>
        </w:tc>
        <w:tc>
          <w:tcPr>
            <w:tcW w:type="dxa" w:w="5760"/>
            <w:shd w:fill="FFFFFF"/>
            <w:tcMar>
              <w:top w:w="100" w:type="dxa"/>
              <w:bottom w:w="100" w:type="dxa"/>
              <w:left w:w="120" w:type="dxa"/>
              <w:right w:w="120" w:type="dxa"/>
            </w:tcMar>
            <w:tcMar>
              <w:top w:w="100" w:type="dxa"/>
              <w:bottom w:w="100" w:type="dxa"/>
              <w:left w:w="150" w:type="dxa"/>
              <w:right w:w="150" w:type="dxa"/>
            </w:tcMar>
            <w:shd w:fill="334155"/>
          </w:tcPr>
          <w:p>
            <w:pPr>
              <w:spacing w:before="60" w:after="60"/>
            </w:pPr>
            <w:r>
              <w:rPr>
                <w:b/>
                <w:color w:val="FFFFFF"/>
                <w:sz w:val="19"/>
              </w:rPr>
              <w:t>Análisis Pedagógico:</w:t>
              <w:br/>
              <w:t>Fábrica de muebles con 3 productos (mesas, sillas y escritorios). Demuestra la limitación natural del Método Gráfico (que solo puede resolver hasta 2 dimensiones) y el indiscutible poder algebraico del Método Simplex tabular para resolver problemas en n dimensiones.</w:t>
              <w:br/>
              <w:br/>
              <w:t>Solución Óptima Obtenida:</w:t>
              <w:br/>
              <w:t>x1* = 0, x2* = 40, x3* = 40, con Z* = 4,400.</w:t>
            </w:r>
          </w:p>
        </w:tc>
      </w:tr>
    </w:tbl>
    <w:p>
      <w:pPr>
        <w:spacing w:after="160"/>
      </w:pPr>
    </w:p>
    <w:p>
      <w:pPr>
        <w:pStyle w:val="Heading1"/>
      </w:pPr>
      <w:r>
        <w:rPr>
          <w:color w:val="0F172A"/>
        </w:rPr>
        <w:t>8. Guía de Instalación, Uso y Exportación Académica</w:t>
      </w:r>
    </w:p>
    <w:p>
      <w:r>
        <w:rPr>
          <w:b/>
        </w:rPr>
        <w:t xml:space="preserve">Requisitos del Entorno: </w:t>
      </w:r>
      <w:r>
        <w:t>Node.js 18+ y un navegador web moderno (Chrome, Edge, Firefox, Brave).</w:t>
      </w:r>
    </w:p>
    <w:p>
      <w:r>
        <w:rPr>
          <w:b/>
        </w:rPr>
        <w:t>Pasos para la Ejecución Local:</w:t>
      </w:r>
    </w:p>
    <w:p>
      <w:pPr>
        <w:pStyle w:val="ListBullet"/>
      </w:pPr>
      <w:r>
        <w:rPr>
          <w:sz w:val="19"/>
        </w:rPr>
        <w:t>1. Clonar o abrir el directorio del proyecto en la terminal: cd /home/alexs/Projects/Solver</w:t>
      </w:r>
    </w:p>
    <w:p>
      <w:pPr>
        <w:pStyle w:val="ListBullet"/>
      </w:pPr>
      <w:r>
        <w:rPr>
          <w:sz w:val="19"/>
        </w:rPr>
        <w:t>2. Instalar las dependencias del proyecto: npm install</w:t>
      </w:r>
    </w:p>
    <w:p>
      <w:pPr>
        <w:pStyle w:val="ListBullet"/>
      </w:pPr>
      <w:r>
        <w:rPr>
          <w:sz w:val="19"/>
        </w:rPr>
        <w:t>3. Iniciar el servidor de desarrollo: npm run dev</w:t>
      </w:r>
    </w:p>
    <w:p>
      <w:pPr>
        <w:pStyle w:val="ListBullet"/>
      </w:pPr>
      <w:r>
        <w:rPr>
          <w:sz w:val="19"/>
        </w:rPr>
        <w:t>4. Abrir en el navegador la URL local: http://localhost:5173</w:t>
      </w:r>
    </w:p>
    <w:p>
      <w:r>
        <w:rPr>
          <w:b/>
        </w:rPr>
        <w:t xml:space="preserve">Exportación a PDF e Impresión: </w:t>
      </w:r>
      <w:r>
        <w:t>El sistema cuenta con estilos CSS especializados en la directiva '@media print'. Al presionar el botón 'Exportar / Imprimir' ubicado en el encabezado superior (o presionando Ctrl + P), la aplicación oculta automáticamente botones interactivos, barras de navegación y fondos oscuros, generando un reporte formal limpio con fondo blanco y tablas nítidas, listo para ser entregado en clase o adjuntado en reportes formales.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0B981"/>
              <w:bottom w:val="none"/>
              <w:right w:val="none"/>
            </w:tcBorders>
          </w:tcPr>
          <w:p>
            <w:pPr>
              <w:spacing w:before="40" w:after="80"/>
            </w:pPr>
            <w:r>
              <w:rPr>
                <w:b/>
                <w:color w:val="1E3A8A"/>
                <w:sz w:val="21"/>
              </w:rPr>
              <w:t xml:space="preserve">📌 RECOMENDACIONES PARA LA PRESENTACIÓN EN CLASE: </w:t>
            </w:r>
          </w:p>
          <w:p>
            <w:pPr>
              <w:spacing w:before="40" w:after="60"/>
            </w:pPr>
            <w:r>
              <w:rPr>
                <w:color w:val="1F2937"/>
                <w:sz w:val="20"/>
              </w:rPr>
              <w:t>Para una defensa académica exitosa:</w:t>
            </w:r>
          </w:p>
          <w:p>
            <w:pPr>
              <w:spacing w:before="40" w:after="60"/>
            </w:pPr>
            <w:r>
              <w:rPr>
                <w:color w:val="1F2937"/>
                <w:sz w:val="20"/>
              </w:rPr>
              <w:t>1. Utiliza el botón 'Ejemplos' en el encabezado para cargar rápidamente cualquiera de los casos de estudio.</w:t>
            </w:r>
          </w:p>
          <w:p>
            <w:pPr>
              <w:spacing w:before="40" w:after="60"/>
            </w:pPr>
            <w:r>
              <w:rPr>
                <w:color w:val="1F2937"/>
                <w:sz w:val="20"/>
              </w:rPr>
              <w:t>2. Destaca ante el profesor que el sistema no usa números flotantes aproximados, sino aritmética exacta con BigInt.</w:t>
            </w:r>
          </w:p>
          <w:p>
            <w:pPr>
              <w:spacing w:before="40" w:after="60"/>
            </w:pPr>
            <w:r>
              <w:rPr>
                <w:color w:val="1F2937"/>
                <w:sz w:val="20"/>
              </w:rPr>
              <w:t>3. En problemas de 2 variables, muestra la coherencia perfecta entre la esquina del Método Gráfico y la Solución Básica Factible de la última tabla Simplex.</w:t>
            </w:r>
          </w:p>
          <w:p>
            <w:pPr>
              <w:spacing w:before="40" w:after="60"/>
            </w:pPr>
            <w:r>
              <w:rPr>
                <w:color w:val="1F2937"/>
                <w:sz w:val="20"/>
              </w:rPr>
              <w:t>4. En problemas con restricciones '&gt;=' o '=', explica la diferencia entre resolver con Gran M (penalización simbólica) vs Dos Fases (función auxiliar W).</w:t>
            </w:r>
          </w:p>
        </w:tc>
      </w:tr>
    </w:tbl>
    <w:p>
      <w:pPr>
        <w:spacing w:before="8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