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Лекарственные взаимодействия и частые ошибки назначения</w:t>
      </w:r>
    </w:p>
    <w:p>
      <w:pPr>
        <w:pStyle w:val="Heading2"/>
      </w:pPr>
      <w:r>
        <w:t>Таблицы взаимодействий</w:t>
      </w:r>
    </w:p>
    <w:p>
      <w:r>
        <w:t>Антипсихотики + бензодиазепины — усиление угнетения ЦНС.</w:t>
        <w:br/>
        <w:t>СИОЗС + ингибиторы МАО — риск серотонинового синдрома.</w:t>
        <w:br/>
        <w:t>Алкоголь + психотропные препараты — усиление токсического эффекта.</w:t>
        <w:br/>
        <w:t>Налтрексон + опиоиды — острый абстинентный синдром.</w:t>
      </w:r>
    </w:p>
    <w:p>
      <w:pPr>
        <w:pStyle w:val="Heading2"/>
      </w:pPr>
      <w:r>
        <w:t>Клинически значимые комбинации</w:t>
      </w:r>
    </w:p>
    <w:p>
      <w:r>
        <w:t>Антипсихотик + нормотимик (под контролем).</w:t>
        <w:br/>
        <w:t>Антидепрессант + анксиолитик коротким курсом.</w:t>
      </w:r>
    </w:p>
    <w:p>
      <w:pPr>
        <w:pStyle w:val="Heading2"/>
      </w:pPr>
      <w:r>
        <w:t>Частые ошибки назначения</w:t>
      </w:r>
    </w:p>
    <w:p>
      <w:r>
        <w:t>Отсутствие титрации доз.</w:t>
        <w:br/>
        <w:t>Полипрагмазия без показаний.</w:t>
        <w:br/>
        <w:t>Назначение налтрексона без исключения приёма опиоидов.</w:t>
        <w:br/>
        <w:t>Игнорирование соматических противопоказаний.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