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Agent Governance Refactor Report</w:t>
      </w:r>
    </w:p>
    <w:p>
      <w:pPr>
        <w:pStyle w:val="Heading2"/>
      </w:pPr>
      <w:r>
        <w:t>Archetype Anchoring, Controlled Enrichment &amp; Execution Plan Formalization</w:t>
      </w:r>
    </w:p>
    <w:p>
      <w:pPr>
        <w:pStyle w:val="Heading2"/>
      </w:pPr>
      <w:r>
        <w:t>1. Context and Objective</w:t>
      </w:r>
    </w:p>
    <w:p>
      <w:r>
        <w:t xml:space="preserve">This document summarizes the architectural evolution of the Brief Agent system prompt and execution plan. </w:t>
        <w:br/>
        <w:t xml:space="preserve">The goal of this refactor was not to add more rules, but to prevent silent scope expansion, eliminate archetype drift, </w:t>
        <w:br/>
        <w:t xml:space="preserve">clarify the role of Supporting Data, formalize conditional logic in the execution plan, reduce instruction sprawl </w:t>
        <w:br/>
        <w:t xml:space="preserve">while preserving control, introduce an explicit Archetype Detection layer, and align execution flow with a </w:t>
        <w:br/>
        <w:t>deterministic &lt;step&gt; / &lt;if_block&gt; grammar.</w:t>
      </w:r>
    </w:p>
    <w:p>
      <w:pPr>
        <w:pStyle w:val="Heading2"/>
      </w:pPr>
      <w:r>
        <w:t>2. The Core Problem Identified</w:t>
      </w:r>
    </w:p>
    <w:p>
      <w:r>
        <w:t xml:space="preserve">The system originally exhibited a recurring risk: Supporting Data (especially recurrent project examples) </w:t>
        <w:br/>
        <w:t xml:space="preserve">could silently override weak or ambiguous user intent. Typical failure patterns included auto-applying </w:t>
        <w:br/>
        <w:t xml:space="preserve">full recurrent templates, expanding deliverables without confirmation, reframing project archetype based </w:t>
        <w:br/>
        <w:t>on richer examples, blending unrelated categories, and allowing classification drift when intent was vague.</w:t>
      </w:r>
    </w:p>
    <w:p>
      <w:pPr>
        <w:pStyle w:val="Heading2"/>
      </w:pPr>
      <w:r>
        <w:t>3. Structural Input Model (Finalized)</w:t>
      </w:r>
    </w:p>
    <w:p>
      <w:r>
        <w:t xml:space="preserve">The refined input contract includes an &lt;initial customer brief&gt; as the primary intent anchor, </w:t>
        <w:br/>
        <w:t xml:space="preserve">&lt;supporting data&gt; as the pattern library and compliance layer, optional nested &lt;brief attachments&gt;, </w:t>
        <w:br/>
        <w:t xml:space="preserve">and optional &lt;referenced project context&gt;. This establishes a layered inference model separating </w:t>
        <w:br/>
        <w:t>intent, archetype anchor, and compliance pattern layers.</w:t>
      </w:r>
    </w:p>
    <w:p>
      <w:pPr>
        <w:pStyle w:val="Heading2"/>
      </w:pPr>
      <w:r>
        <w:t>4. Archetype Anchoring Model</w:t>
      </w:r>
    </w:p>
    <w:p>
      <w:r>
        <w:t xml:space="preserve">If &lt;referenced project context&gt; is present and clearly invoked by the user, it defines the core project type, </w:t>
        <w:br/>
        <w:t xml:space="preserve">fundamental objective, deliverable categories, volume logic, and structural emphasis. Supporting Data may refine </w:t>
        <w:br/>
        <w:t>but must not redefine project type, remove baseline deliverables, reinterpret objectives, or replace scope elements.</w:t>
      </w:r>
    </w:p>
    <w:p>
      <w:pPr>
        <w:pStyle w:val="Heading2"/>
      </w:pPr>
      <w:r>
        <w:t>5. Recurrent Projects Reframed</w:t>
      </w:r>
    </w:p>
    <w:p>
      <w:r>
        <w:t xml:space="preserve">Recurrent projects now act strictly as a pattern library and structural reference. If a referenced project exists, </w:t>
        <w:br/>
        <w:t xml:space="preserve">recurrent projects may enrich but cannot override. If no referenced project exists, archetype detection maps the </w:t>
        <w:br/>
        <w:t>request to the closest recurrent category without blindly replicating full templates.</w:t>
      </w:r>
    </w:p>
    <w:p>
      <w:pPr>
        <w:pStyle w:val="Heading2"/>
      </w:pPr>
      <w:r>
        <w:t>6. Controlled Enrichment Principle</w:t>
      </w:r>
    </w:p>
    <w:p>
      <w:r>
        <w:t xml:space="preserve">Supporting Data may refine tone, structure, compliance elements, technical specs, and suggest additional </w:t>
        <w:br/>
        <w:t xml:space="preserve">deliverables (highlighted). It must not mutate the baseline scope or auto-expand volume. This preserves </w:t>
        <w:br/>
        <w:t>intelligence without allowing mutation.</w:t>
      </w:r>
    </w:p>
    <w:p>
      <w:pPr>
        <w:pStyle w:val="Heading2"/>
      </w:pPr>
      <w:r>
        <w:t>7. Volume Safety Model</w:t>
      </w:r>
    </w:p>
    <w:p>
      <w:r>
        <w:t xml:space="preserve">Multi-size standards must not be automatically applied unless explicitly indicated. If unclear, </w:t>
        <w:br/>
        <w:t>additional sizes are suggested but highlighted for confirmation, ensuring deterministic volume control.</w:t>
      </w:r>
    </w:p>
    <w:p>
      <w:pPr>
        <w:pStyle w:val="Heading2"/>
      </w:pPr>
      <w:r>
        <w:t>8. Ambiguity Handling</w:t>
      </w:r>
    </w:p>
    <w:p>
      <w:r>
        <w:t xml:space="preserve">If ambiguity materially affects archetype or volume logic, the system preserves minimal confirmed scope, </w:t>
        <w:br/>
        <w:t>avoids template replication, highlights uncertainty, and escalates for clarification when necessary.</w:t>
      </w:r>
    </w:p>
    <w:p>
      <w:pPr>
        <w:pStyle w:val="Heading2"/>
      </w:pPr>
      <w:r>
        <w:t>9. Execution Plan Formalization</w:t>
      </w:r>
    </w:p>
    <w:p>
      <w:r>
        <w:t xml:space="preserve">The execution plan now uses explicit &lt;step&gt; and &lt;if_block&gt; grammar for deterministic reasoning. </w:t>
        <w:br/>
        <w:t>Conditional logic is no longer embedded inside prose but formalized as structured branching.</w:t>
      </w:r>
    </w:p>
    <w:p>
      <w:pPr>
        <w:pStyle w:val="Heading2"/>
      </w:pPr>
      <w:r>
        <w:t>10. Validation Layer Refactor</w:t>
      </w:r>
    </w:p>
    <w:p>
      <w:r>
        <w:t xml:space="preserve">Validation is separated into structural and scope integrity checks, and provenance and rule compliance checks. </w:t>
        <w:br/>
        <w:t>This removes redundancy while maintaining deterministic guarantees.</w:t>
      </w:r>
    </w:p>
    <w:p>
      <w:pPr>
        <w:pStyle w:val="Heading2"/>
      </w:pPr>
      <w:r>
        <w:t>11. Context Source Mapping Clarified</w:t>
      </w:r>
    </w:p>
    <w:p>
      <w:r>
        <w:t xml:space="preserve">Archetype control determines project type. Context mapping determines classification and citation behavior. </w:t>
        <w:br/>
        <w:t>Maintaining separation of concerns improves stability.</w:t>
      </w:r>
    </w:p>
    <w:p>
      <w:pPr>
        <w:pStyle w:val="Heading2"/>
      </w:pPr>
      <w:r>
        <w:t>12. Final Governance Stack</w:t>
      </w:r>
    </w:p>
    <w:p>
      <w:r>
        <w:t xml:space="preserve">The system now follows a structured inference sequence: parse input, detect archetype, lock baseline, </w:t>
        <w:br/>
        <w:t xml:space="preserve">interpret Supporting Data, apply controlled enrichment, map citations, generate, validate structure, </w:t>
        <w:br/>
        <w:t>validate provenance, and conditionally reply.</w:t>
      </w:r>
    </w:p>
    <w:p>
      <w:pPr>
        <w:pStyle w:val="Heading2"/>
      </w:pPr>
      <w:r>
        <w:t>13. Architectural Gains</w:t>
      </w:r>
    </w:p>
    <w:p>
      <w:r>
        <w:t xml:space="preserve">This refactor introduced archetype immutability, deterministic classification, controlled template usage, </w:t>
        <w:br/>
        <w:t>volume safety, separation of inference layers, reduced silent drift, and improved maintainability.</w:t>
      </w:r>
    </w:p>
    <w:p>
      <w:pPr>
        <w:pStyle w:val="Heading2"/>
      </w:pPr>
      <w:r>
        <w:t>14. Conclusion</w:t>
      </w:r>
    </w:p>
    <w:p>
      <w:r>
        <w:t xml:space="preserve">The Brief Agent is now archetype-anchored, pattern-aware, compliance-driven, citation-auditable, </w:t>
        <w:br/>
        <w:t>and drift-resistant. This milestone represents a transition from accumulated rules to a governed inference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