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Agent Governance Refactor Report</w:t>
      </w:r>
    </w:p>
    <w:p>
      <w:pPr>
        <w:pStyle w:val="Heading2"/>
      </w:pPr>
      <w:r>
        <w:t>Archetype Anchoring, Controlled Enrichment &amp; Execution Plan Formalization</w:t>
      </w:r>
    </w:p>
    <w:p>
      <w:pPr>
        <w:pStyle w:val="Heading2"/>
      </w:pPr>
      <w:r>
        <w:t>1. Why This Refactor Was Necessary</w:t>
      </w:r>
    </w:p>
    <w:p>
      <w:r>
        <w:t xml:space="preserve">The Brief Agent had evolved into a highly capable but increasingly dense prompt system. </w:t>
        <w:br/>
        <w:t>While it performed well under structured inputs, subtle instability began appearing under ambiguous or weak user intent.</w:t>
        <w:br/>
        <w:br/>
        <w:t xml:space="preserve">The primary issue was not hallucination, but silent structural drift. Supporting Data — particularly recurrent project examples — </w:t>
        <w:br/>
        <w:t xml:space="preserve">was rich, well-structured, and information-heavy. In cases where the initial customer brief was short or vague, </w:t>
        <w:br/>
        <w:t xml:space="preserve">the model tended to complete patterns using recurrent templates. This caused silent scope expansion, </w:t>
        <w:br/>
        <w:t>archetype blending, and unintended volume inflation.</w:t>
        <w:br/>
        <w:br/>
        <w:t>The refactor was necessary to restore deterministic control without sacrificing automation or intelligence.</w:t>
      </w:r>
    </w:p>
    <w:p>
      <w:pPr>
        <w:pStyle w:val="Heading2"/>
      </w:pPr>
      <w:r>
        <w:t>2. The Initial Architectural Problem</w:t>
      </w:r>
    </w:p>
    <w:p>
      <w:r>
        <w:t xml:space="preserve">The system originally lacked a formal concept of scope anchoring and archetype locking. </w:t>
        <w:br/>
        <w:t xml:space="preserve">All contextual layers — initial brief, referenced project context, and Supporting Data — were present, </w:t>
        <w:br/>
        <w:t>but their influence hierarchy was implicit rather than explicitly governed.</w:t>
        <w:br/>
        <w:br/>
        <w:t>Failure patterns observed:</w:t>
        <w:br/>
        <w:t>- Auto-application of full recurrent project templates when intent was vague.</w:t>
        <w:br/>
        <w:t>- Expansion of deliverables without confirmation.</w:t>
        <w:br/>
        <w:t>- Subtle reinterpretation of the project objective.</w:t>
        <w:br/>
        <w:t>- Cross-archetype blending (e.g., motion logic influencing static campaigns).</w:t>
        <w:br/>
        <w:t>- Volume replication based on template norms rather than confirmed scope.</w:t>
        <w:br/>
        <w:br/>
        <w:t>These were not rule violations — they were inference side effects of pattern-rich context.</w:t>
      </w:r>
    </w:p>
    <w:p>
      <w:pPr>
        <w:pStyle w:val="Heading2"/>
      </w:pPr>
      <w:r>
        <w:t>3. Structural Input Model (Finalized)</w:t>
      </w:r>
    </w:p>
    <w:p>
      <w:r>
        <w:t>The refined input contract clearly separates:</w:t>
        <w:br/>
        <w:br/>
        <w:t>- &lt;initial customer brief&gt; → Primary intent anchor.</w:t>
        <w:br/>
        <w:t>- Optional &lt;referenced project context&gt; → Potential archetype anchor.</w:t>
        <w:br/>
        <w:t>- &lt;supporting data&gt; → Persistent pattern and compliance layer.</w:t>
        <w:br/>
        <w:t>- Optional nested &lt;brief attachments&gt; → Supplemental context.</w:t>
        <w:br/>
        <w:br/>
        <w:t>This separation establishes a layered inference model where intent, archetype, and compliance operate in defined tiers.</w:t>
      </w:r>
    </w:p>
    <w:p>
      <w:pPr>
        <w:pStyle w:val="Heading2"/>
      </w:pPr>
      <w:r>
        <w:t>4. Archetype Anchoring Model</w:t>
      </w:r>
    </w:p>
    <w:p>
      <w:r>
        <w:t>If &lt;referenced project context&gt; is present and clearly invoked, it defines the baseline archetype:</w:t>
        <w:br/>
        <w:br/>
        <w:t>- Core project type</w:t>
        <w:br/>
        <w:t>- Fundamental objective</w:t>
        <w:br/>
        <w:t>- Deliverable categories</w:t>
        <w:br/>
        <w:t>- Volume logic</w:t>
        <w:br/>
        <w:t>- Structural emphasis</w:t>
        <w:br/>
        <w:br/>
        <w:t>Supporting Data may refine but must not redefine these baseline elements.</w:t>
      </w:r>
    </w:p>
    <w:p>
      <w:pPr>
        <w:pStyle w:val="Heading2"/>
      </w:pPr>
      <w:r>
        <w:t>5. Recurrent Projects Reframed</w:t>
      </w:r>
    </w:p>
    <w:p>
      <w:r>
        <w:t>Recurrent projects are now treated strictly as a pattern library and structural reference — not automatic replication engines.</w:t>
        <w:br/>
        <w:br/>
        <w:t>If a referenced project exists:</w:t>
        <w:br/>
        <w:t>- Recurrent projects may enrich but cannot override.</w:t>
        <w:br/>
        <w:br/>
        <w:t>If no referenced project exists:</w:t>
        <w:br/>
        <w:t>- Archetype detection selects the closest recurrent category.</w:t>
        <w:br/>
        <w:t>- Full template replication must not occur automatically.</w:t>
      </w:r>
    </w:p>
    <w:p>
      <w:pPr>
        <w:pStyle w:val="Heading2"/>
      </w:pPr>
      <w:r>
        <w:t>6. Controlled Enrichment Principle</w:t>
      </w:r>
    </w:p>
    <w:p>
      <w:r>
        <w:t>Supporting Data may:</w:t>
        <w:br/>
        <w:t>- Refine tone</w:t>
        <w:br/>
        <w:t>- Align structure</w:t>
        <w:br/>
        <w:t>- Add compliance elements</w:t>
        <w:br/>
        <w:t>- Suggest additional deliverables (highlighted)</w:t>
        <w:br/>
        <w:br/>
        <w:t>Supporting Data must not:</w:t>
        <w:br/>
        <w:t>- Remove baseline scope</w:t>
        <w:br/>
        <w:t>- Replace deliverables</w:t>
        <w:br/>
        <w:t>- Mutate volume logic</w:t>
      </w:r>
    </w:p>
    <w:p>
      <w:pPr>
        <w:pStyle w:val="Heading2"/>
      </w:pPr>
      <w:r>
        <w:t>7. Volume Safety Model</w:t>
      </w:r>
    </w:p>
    <w:p>
      <w:r>
        <w:t>Multi-size or multi-version standards from recurrent templates must not auto-expand scope.</w:t>
        <w:br/>
        <w:t>If unclear, additional elements are suggested but marked for confirmation.</w:t>
      </w:r>
    </w:p>
    <w:p>
      <w:pPr>
        <w:pStyle w:val="Heading2"/>
      </w:pPr>
      <w:r>
        <w:t>8. Ambiguity Handling</w:t>
      </w:r>
    </w:p>
    <w:p>
      <w:r>
        <w:t>If ambiguity materially affects project type or volume logic:</w:t>
        <w:br/>
        <w:t>- Preserve minimal confirmed scope.</w:t>
        <w:br/>
        <w:t>- Avoid template replication.</w:t>
        <w:br/>
        <w:t>- Highlight uncertainty.</w:t>
        <w:br/>
        <w:t>- Escalate for clarification when necessary.</w:t>
      </w:r>
    </w:p>
    <w:p>
      <w:pPr>
        <w:pStyle w:val="Heading2"/>
      </w:pPr>
      <w:r>
        <w:t>9. Execution Plan Formalization</w:t>
      </w:r>
    </w:p>
    <w:p>
      <w:r>
        <w:t>The execution plan now uses explicit &lt;step&gt; and &lt;if_block&gt; structures.</w:t>
        <w:br/>
        <w:t>Conditional logic is formalized rather than embedded in prose.</w:t>
        <w:br/>
        <w:t>This increases determinism and structural consistency.</w:t>
      </w:r>
    </w:p>
    <w:p>
      <w:pPr>
        <w:pStyle w:val="Heading2"/>
      </w:pPr>
      <w:r>
        <w:t>10. Validation Layer Refactor</w:t>
      </w:r>
    </w:p>
    <w:p>
      <w:r>
        <w:t>Validation is separated into:</w:t>
        <w:br/>
        <w:t>- Structural &amp; Scope Integrity checks.</w:t>
        <w:br/>
        <w:t>- Provenance &amp; Rule Compliance checks.</w:t>
        <w:br/>
        <w:br/>
        <w:t>This removes redundancy while preserving auditability.</w:t>
      </w:r>
    </w:p>
    <w:p>
      <w:pPr>
        <w:pStyle w:val="Heading2"/>
      </w:pPr>
      <w:r>
        <w:t>11. Architectural Gains</w:t>
      </w:r>
    </w:p>
    <w:p>
      <w:r>
        <w:t>The system now demonstrates:</w:t>
        <w:br/>
        <w:br/>
        <w:t>- Archetype immutability</w:t>
        <w:br/>
        <w:t>- Deterministic classification</w:t>
        <w:br/>
        <w:t>- Controlled enrichment</w:t>
        <w:br/>
        <w:t>- Volume safety</w:t>
        <w:br/>
        <w:t>- Reduced silent drift</w:t>
        <w:br/>
        <w:t>- Clear separation of inference layers</w:t>
      </w:r>
    </w:p>
    <w:p>
      <w:pPr>
        <w:pStyle w:val="Heading2"/>
      </w:pPr>
      <w:r>
        <w:t>12. Conclusion</w:t>
      </w:r>
    </w:p>
    <w:p>
      <w:r>
        <w:t xml:space="preserve">The Brief Agent has transitioned from a rule-accumulation model </w:t>
        <w:br/>
        <w:t>to a governed inference architecture.</w:t>
        <w:br/>
        <w:br/>
        <w:t xml:space="preserve">It is now archetype-anchored, pattern-aware, compliance-driven, </w:t>
        <w:br/>
        <w:t>citation-auditable, and drift-resistant — without sacrificing flexibility.</w:t>
        <w:br/>
        <w:br/>
        <w:t xml:space="preserve">This refactor represents a stable architectural milestone </w:t>
        <w:br/>
        <w:t>for the Prompt Design Rule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