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C0B" w:rsidRPr="00756A50" w:rsidRDefault="00943D1B">
      <w:pPr>
        <w:rPr>
          <w:b/>
          <w:lang w:val="en-US"/>
        </w:rPr>
      </w:pPr>
      <w:r w:rsidRPr="00756A50">
        <w:rPr>
          <w:b/>
          <w:lang w:val="en-US"/>
        </w:rPr>
        <w:t>McKinsey Paper:</w:t>
      </w:r>
    </w:p>
    <w:p w:rsidR="00943D1B" w:rsidRPr="00756A50" w:rsidRDefault="00943D1B" w:rsidP="00943D1B">
      <w:pPr>
        <w:rPr>
          <w:i/>
          <w:lang w:val="en-US"/>
        </w:rPr>
      </w:pPr>
      <w:r w:rsidRPr="00756A50">
        <w:rPr>
          <w:i/>
          <w:lang w:val="en-US"/>
        </w:rPr>
        <w:t>Research Question:</w:t>
      </w:r>
    </w:p>
    <w:p w:rsidR="00943D1B" w:rsidRDefault="00AC6F81" w:rsidP="00943D1B">
      <w:pPr>
        <w:rPr>
          <w:lang w:val="en-US"/>
        </w:rPr>
      </w:pPr>
      <w:r>
        <w:rPr>
          <w:lang w:val="en-US"/>
        </w:rPr>
        <w:t>Are</w:t>
      </w:r>
      <w:r w:rsidR="00943D1B">
        <w:rPr>
          <w:lang w:val="en-US"/>
        </w:rPr>
        <w:t xml:space="preserve"> higher </w:t>
      </w:r>
      <w:r>
        <w:rPr>
          <w:lang w:val="en-US"/>
        </w:rPr>
        <w:t xml:space="preserve">capital and </w:t>
      </w:r>
      <w:proofErr w:type="gramStart"/>
      <w:r>
        <w:rPr>
          <w:lang w:val="en-US"/>
        </w:rPr>
        <w:t>leverage</w:t>
      </w:r>
      <w:proofErr w:type="gramEnd"/>
      <w:r>
        <w:rPr>
          <w:lang w:val="en-US"/>
        </w:rPr>
        <w:t xml:space="preserve"> ratios </w:t>
      </w:r>
      <w:r w:rsidR="00943D1B" w:rsidRPr="00943D1B">
        <w:rPr>
          <w:lang w:val="en-US"/>
        </w:rPr>
        <w:t>related to the chances of bank dis</w:t>
      </w:r>
      <w:r w:rsidR="00943D1B">
        <w:rPr>
          <w:lang w:val="en-US"/>
        </w:rPr>
        <w:t>tress</w:t>
      </w:r>
      <w:r>
        <w:rPr>
          <w:lang w:val="en-US"/>
        </w:rPr>
        <w:t xml:space="preserve">? </w:t>
      </w:r>
      <w:r w:rsidR="00943D1B" w:rsidRPr="00943D1B">
        <w:rPr>
          <w:lang w:val="en-US"/>
        </w:rPr>
        <w:t xml:space="preserve"> </w:t>
      </w:r>
    </w:p>
    <w:p w:rsidR="00241AE4" w:rsidRPr="00943D1B" w:rsidRDefault="00241AE4" w:rsidP="00943D1B">
      <w:pPr>
        <w:rPr>
          <w:lang w:val="en-US"/>
        </w:rPr>
      </w:pPr>
      <w:r>
        <w:rPr>
          <w:lang w:val="en-US"/>
        </w:rPr>
        <w:t>What are the most relevant capital ratios that indicate a bank distress?</w:t>
      </w:r>
    </w:p>
    <w:p w:rsidR="00943D1B" w:rsidRPr="00756A50" w:rsidRDefault="00943D1B" w:rsidP="00943D1B">
      <w:pPr>
        <w:rPr>
          <w:i/>
          <w:lang w:val="en-US"/>
        </w:rPr>
      </w:pPr>
      <w:r w:rsidRPr="00756A50">
        <w:rPr>
          <w:i/>
          <w:lang w:val="en-US"/>
        </w:rPr>
        <w:t>Contribution to literature:</w:t>
      </w:r>
    </w:p>
    <w:p w:rsidR="00943D1B" w:rsidRPr="00756A50" w:rsidRDefault="00943D1B" w:rsidP="00943D1B">
      <w:pPr>
        <w:rPr>
          <w:i/>
          <w:lang w:val="en-US"/>
        </w:rPr>
      </w:pPr>
      <w:proofErr w:type="spellStart"/>
      <w:r w:rsidRPr="00756A50">
        <w:rPr>
          <w:i/>
          <w:lang w:val="en-US"/>
        </w:rPr>
        <w:t>Methology</w:t>
      </w:r>
      <w:proofErr w:type="spellEnd"/>
      <w:r w:rsidRPr="00756A50">
        <w:rPr>
          <w:i/>
          <w:lang w:val="en-US"/>
        </w:rPr>
        <w:t>:</w:t>
      </w:r>
    </w:p>
    <w:p w:rsidR="00AC6F81" w:rsidRDefault="00CA4C76" w:rsidP="00943D1B">
      <w:pPr>
        <w:rPr>
          <w:lang w:val="en-US"/>
        </w:rPr>
      </w:pPr>
      <w:r>
        <w:rPr>
          <w:lang w:val="en-US"/>
        </w:rPr>
        <w:t xml:space="preserve">They </w:t>
      </w:r>
      <w:r w:rsidRPr="00CA4C76">
        <w:rPr>
          <w:lang w:val="en-US"/>
        </w:rPr>
        <w:t>examine</w:t>
      </w:r>
      <w:r>
        <w:rPr>
          <w:lang w:val="en-US"/>
        </w:rPr>
        <w:t>d</w:t>
      </w:r>
      <w:r w:rsidRPr="00CA4C76">
        <w:rPr>
          <w:lang w:val="en-US"/>
        </w:rPr>
        <w:t xml:space="preserve"> individual bank balance sh</w:t>
      </w:r>
      <w:r>
        <w:rPr>
          <w:lang w:val="en-US"/>
        </w:rPr>
        <w:t xml:space="preserve">eets including their level and </w:t>
      </w:r>
      <w:r w:rsidRPr="00CA4C76">
        <w:rPr>
          <w:lang w:val="en-US"/>
        </w:rPr>
        <w:t>composition of capital as of December 31, 2007, and estimate th</w:t>
      </w:r>
      <w:r>
        <w:rPr>
          <w:lang w:val="en-US"/>
        </w:rPr>
        <w:t xml:space="preserve">e relationship between initial </w:t>
      </w:r>
      <w:r w:rsidRPr="00CA4C76">
        <w:rPr>
          <w:lang w:val="en-US"/>
        </w:rPr>
        <w:t xml:space="preserve">capital and </w:t>
      </w:r>
      <w:proofErr w:type="gramStart"/>
      <w:r w:rsidRPr="00CA4C76">
        <w:rPr>
          <w:lang w:val="en-US"/>
        </w:rPr>
        <w:t>leverage</w:t>
      </w:r>
      <w:proofErr w:type="gramEnd"/>
      <w:r w:rsidRPr="00CA4C76">
        <w:rPr>
          <w:lang w:val="en-US"/>
        </w:rPr>
        <w:t xml:space="preserve"> ratios with subsequent bank performance.</w:t>
      </w:r>
      <w:r>
        <w:rPr>
          <w:lang w:val="en-US"/>
        </w:rPr>
        <w:t xml:space="preserve"> To estimate this relationship they used logistic regression</w:t>
      </w:r>
      <w:r w:rsidR="00D4292C">
        <w:rPr>
          <w:lang w:val="en-US"/>
        </w:rPr>
        <w:t xml:space="preserve">. </w:t>
      </w:r>
      <w:proofErr w:type="gramStart"/>
      <w:r w:rsidR="00D4292C">
        <w:rPr>
          <w:lang w:val="en-US"/>
        </w:rPr>
        <w:t>And</w:t>
      </w:r>
      <w:proofErr w:type="gramEnd"/>
      <w:r w:rsidR="00D4292C">
        <w:rPr>
          <w:lang w:val="en-US"/>
        </w:rPr>
        <w:t xml:space="preserve"> to compare the results of the regressions, they used a statistical </w:t>
      </w:r>
      <w:r w:rsidR="00756A50">
        <w:rPr>
          <w:lang w:val="en-US"/>
        </w:rPr>
        <w:t>metric called Gini coefficient</w:t>
      </w:r>
      <w:r w:rsidR="00AC6F81">
        <w:rPr>
          <w:lang w:val="en-US"/>
        </w:rPr>
        <w:t xml:space="preserve">. </w:t>
      </w:r>
    </w:p>
    <w:p w:rsidR="00943D1B" w:rsidRPr="00756A50" w:rsidRDefault="00943D1B" w:rsidP="00943D1B">
      <w:pPr>
        <w:rPr>
          <w:i/>
          <w:lang w:val="en-US"/>
        </w:rPr>
      </w:pPr>
      <w:r w:rsidRPr="00756A50">
        <w:rPr>
          <w:i/>
          <w:lang w:val="en-US"/>
        </w:rPr>
        <w:t>Main Results:</w:t>
      </w:r>
      <w:r w:rsidR="00AC6F81" w:rsidRPr="00756A50">
        <w:rPr>
          <w:i/>
          <w:lang w:val="en-US"/>
        </w:rPr>
        <w:t xml:space="preserve"> </w:t>
      </w:r>
    </w:p>
    <w:p w:rsidR="00AC6F81" w:rsidRPr="00756A50" w:rsidRDefault="00AC6F81" w:rsidP="00756A50">
      <w:pPr>
        <w:pStyle w:val="Listenabsatz"/>
        <w:numPr>
          <w:ilvl w:val="0"/>
          <w:numId w:val="2"/>
        </w:numPr>
        <w:spacing w:after="0"/>
        <w:rPr>
          <w:lang w:val="en-US"/>
        </w:rPr>
      </w:pPr>
      <w:r w:rsidRPr="00756A50">
        <w:rPr>
          <w:lang w:val="en-US"/>
        </w:rPr>
        <w:t xml:space="preserve">In the 2007-2009 crisis, institutions with higher capital and with higher </w:t>
      </w:r>
      <w:proofErr w:type="gramStart"/>
      <w:r w:rsidRPr="00756A50">
        <w:rPr>
          <w:lang w:val="en-US"/>
        </w:rPr>
        <w:t>leverage</w:t>
      </w:r>
      <w:proofErr w:type="gramEnd"/>
      <w:r w:rsidR="00D4292C" w:rsidRPr="00756A50">
        <w:rPr>
          <w:lang w:val="en-US"/>
        </w:rPr>
        <w:t xml:space="preserve"> ratios pre-crisis </w:t>
      </w:r>
      <w:r w:rsidRPr="00756A50">
        <w:rPr>
          <w:lang w:val="en-US"/>
        </w:rPr>
        <w:t>have had less chance of becoming distressed during the crisis.</w:t>
      </w:r>
      <w:r w:rsidR="00D4292C" w:rsidRPr="00756A50">
        <w:rPr>
          <w:lang w:val="en-US"/>
        </w:rPr>
        <w:t xml:space="preserve"> </w:t>
      </w:r>
      <w:r w:rsidRPr="00756A50">
        <w:rPr>
          <w:lang w:val="en-US"/>
        </w:rPr>
        <w:t>Our fi</w:t>
      </w:r>
      <w:r w:rsidR="00D4292C" w:rsidRPr="00756A50">
        <w:rPr>
          <w:lang w:val="en-US"/>
        </w:rPr>
        <w:t xml:space="preserve">ndings on recent distress rates </w:t>
      </w:r>
      <w:proofErr w:type="gramStart"/>
      <w:r w:rsidRPr="00756A50">
        <w:rPr>
          <w:lang w:val="en-US"/>
        </w:rPr>
        <w:t>are also supported</w:t>
      </w:r>
      <w:proofErr w:type="gramEnd"/>
      <w:r w:rsidRPr="00756A50">
        <w:rPr>
          <w:lang w:val="en-US"/>
        </w:rPr>
        <w:t xml:space="preserve"> by previous work on U.S.</w:t>
      </w:r>
      <w:r w:rsidR="00D4292C" w:rsidRPr="00756A50">
        <w:rPr>
          <w:lang w:val="en-US"/>
        </w:rPr>
        <w:t xml:space="preserve"> </w:t>
      </w:r>
      <w:r w:rsidRPr="00756A50">
        <w:rPr>
          <w:lang w:val="en-US"/>
        </w:rPr>
        <w:t>bank distress during the b</w:t>
      </w:r>
      <w:r w:rsidR="00D4292C" w:rsidRPr="00756A50">
        <w:rPr>
          <w:lang w:val="en-US"/>
        </w:rPr>
        <w:t xml:space="preserve">anking crisis in 1989-93 (e.g., </w:t>
      </w:r>
      <w:r w:rsidRPr="00756A50">
        <w:rPr>
          <w:lang w:val="en-US"/>
        </w:rPr>
        <w:t>Estrella, Park, and</w:t>
      </w:r>
      <w:r w:rsidR="00756A50" w:rsidRPr="00756A50">
        <w:rPr>
          <w:lang w:val="en-US"/>
        </w:rPr>
        <w:t xml:space="preserve"> </w:t>
      </w:r>
      <w:proofErr w:type="spellStart"/>
      <w:r w:rsidRPr="00756A50">
        <w:rPr>
          <w:lang w:val="en-US"/>
        </w:rPr>
        <w:t>Peristiani</w:t>
      </w:r>
      <w:proofErr w:type="spellEnd"/>
      <w:r w:rsidRPr="00756A50">
        <w:rPr>
          <w:lang w:val="en-US"/>
        </w:rPr>
        <w:t>, 2000).</w:t>
      </w:r>
    </w:p>
    <w:p w:rsidR="00AC6F81" w:rsidRPr="00756A50" w:rsidRDefault="00AC6F81" w:rsidP="00756A50">
      <w:pPr>
        <w:pStyle w:val="Listenabsatz"/>
        <w:numPr>
          <w:ilvl w:val="0"/>
          <w:numId w:val="2"/>
        </w:numPr>
        <w:spacing w:after="0"/>
        <w:rPr>
          <w:lang w:val="en-US"/>
        </w:rPr>
      </w:pPr>
      <w:r w:rsidRPr="00756A50">
        <w:rPr>
          <w:lang w:val="en-US"/>
        </w:rPr>
        <w:t>Capital ratios based on higher-quality forms of ca</w:t>
      </w:r>
      <w:r w:rsidR="00D4292C" w:rsidRPr="00756A50">
        <w:rPr>
          <w:lang w:val="en-US"/>
        </w:rPr>
        <w:t xml:space="preserve">pital (e.g., TCE, Tier 1) have been more important </w:t>
      </w:r>
      <w:r w:rsidRPr="00756A50">
        <w:rPr>
          <w:lang w:val="en-US"/>
        </w:rPr>
        <w:t>predictors of bank distres</w:t>
      </w:r>
      <w:r w:rsidR="00D4292C" w:rsidRPr="00756A50">
        <w:rPr>
          <w:lang w:val="en-US"/>
        </w:rPr>
        <w:t xml:space="preserve">s than ratios based on broader </w:t>
      </w:r>
      <w:r w:rsidRPr="00756A50">
        <w:rPr>
          <w:lang w:val="en-US"/>
        </w:rPr>
        <w:t>measures of r</w:t>
      </w:r>
      <w:r w:rsidR="00D4292C" w:rsidRPr="00756A50">
        <w:rPr>
          <w:lang w:val="en-US"/>
        </w:rPr>
        <w:t xml:space="preserve">egulatory capital (Tier 1 plus </w:t>
      </w:r>
      <w:r w:rsidRPr="00756A50">
        <w:rPr>
          <w:lang w:val="en-US"/>
        </w:rPr>
        <w:t>Tier 2).</w:t>
      </w:r>
      <w:r w:rsidR="00D4292C" w:rsidRPr="00756A50">
        <w:rPr>
          <w:lang w:val="en-US"/>
        </w:rPr>
        <w:t xml:space="preserve"> </w:t>
      </w:r>
      <w:r w:rsidRPr="00756A50">
        <w:rPr>
          <w:lang w:val="en-US"/>
        </w:rPr>
        <w:t>TCE to risk-weighted assets (RWA) is the mo</w:t>
      </w:r>
      <w:r w:rsidR="00D4292C" w:rsidRPr="00756A50">
        <w:rPr>
          <w:lang w:val="en-US"/>
        </w:rPr>
        <w:t xml:space="preserve">st predictive of the ratios we examined, and </w:t>
      </w:r>
      <w:r w:rsidRPr="00756A50">
        <w:rPr>
          <w:lang w:val="en-US"/>
        </w:rPr>
        <w:t xml:space="preserve">the data suggests that this ratio is a </w:t>
      </w:r>
      <w:r w:rsidR="00D4292C" w:rsidRPr="00756A50">
        <w:rPr>
          <w:lang w:val="en-US"/>
        </w:rPr>
        <w:t xml:space="preserve">significantly better predictor </w:t>
      </w:r>
      <w:r w:rsidRPr="00756A50">
        <w:rPr>
          <w:lang w:val="en-US"/>
        </w:rPr>
        <w:t xml:space="preserve">than the second best – the ratio of Tier 1 to RWA.  </w:t>
      </w:r>
    </w:p>
    <w:p w:rsidR="00EA70A3" w:rsidRPr="00E53550" w:rsidRDefault="00AC6F81" w:rsidP="00943D1B">
      <w:pPr>
        <w:pStyle w:val="Listenabsatz"/>
        <w:numPr>
          <w:ilvl w:val="0"/>
          <w:numId w:val="2"/>
        </w:numPr>
        <w:spacing w:after="0"/>
        <w:rPr>
          <w:lang w:val="en-US"/>
        </w:rPr>
      </w:pPr>
      <w:r w:rsidRPr="00756A50">
        <w:rPr>
          <w:lang w:val="en-US"/>
        </w:rPr>
        <w:t>While leverage ratios on a stand-alone basis are related to the probability of</w:t>
      </w:r>
      <w:r w:rsidR="00D4292C" w:rsidRPr="00756A50">
        <w:rPr>
          <w:lang w:val="en-US"/>
        </w:rPr>
        <w:t xml:space="preserve"> </w:t>
      </w:r>
      <w:r w:rsidRPr="00756A50">
        <w:rPr>
          <w:lang w:val="en-US"/>
        </w:rPr>
        <w:t>distress, they do not appear to provide any additional information about the</w:t>
      </w:r>
      <w:r w:rsidR="00D4292C" w:rsidRPr="00756A50">
        <w:rPr>
          <w:lang w:val="en-US"/>
        </w:rPr>
        <w:t xml:space="preserve"> </w:t>
      </w:r>
      <w:r w:rsidRPr="00756A50">
        <w:rPr>
          <w:lang w:val="en-US"/>
        </w:rPr>
        <w:t>likelihood o</w:t>
      </w:r>
      <w:r w:rsidR="00D4292C" w:rsidRPr="00756A50">
        <w:rPr>
          <w:lang w:val="en-US"/>
        </w:rPr>
        <w:t xml:space="preserve">f future bank distress over and </w:t>
      </w:r>
      <w:r w:rsidRPr="00756A50">
        <w:rPr>
          <w:lang w:val="en-US"/>
        </w:rPr>
        <w:t>above what is already contained in the</w:t>
      </w:r>
      <w:r w:rsidR="00D4292C" w:rsidRPr="00756A50">
        <w:rPr>
          <w:lang w:val="en-US"/>
        </w:rPr>
        <w:t xml:space="preserve"> </w:t>
      </w:r>
      <w:r w:rsidR="00E53550">
        <w:rPr>
          <w:lang w:val="en-US"/>
        </w:rPr>
        <w:t>risk-based capital ratios</w:t>
      </w:r>
    </w:p>
    <w:p w:rsidR="00EA70A3" w:rsidRDefault="00EA70A3" w:rsidP="00943D1B">
      <w:pPr>
        <w:rPr>
          <w:lang w:val="en-US"/>
        </w:rPr>
      </w:pPr>
    </w:p>
    <w:p w:rsidR="00AC6F81" w:rsidRPr="00EA70A3" w:rsidRDefault="00AC6F81" w:rsidP="00943D1B">
      <w:pPr>
        <w:rPr>
          <w:b/>
          <w:lang w:val="en-US"/>
        </w:rPr>
      </w:pPr>
      <w:r w:rsidRPr="00EA70A3">
        <w:rPr>
          <w:b/>
          <w:lang w:val="en-US"/>
        </w:rPr>
        <w:t>Adrian-Shin 2011</w:t>
      </w:r>
    </w:p>
    <w:p w:rsidR="00AC6F81" w:rsidRDefault="00AC6F81" w:rsidP="00943D1B">
      <w:pPr>
        <w:rPr>
          <w:i/>
          <w:lang w:val="en-US"/>
        </w:rPr>
      </w:pPr>
      <w:r w:rsidRPr="00EA70A3">
        <w:rPr>
          <w:i/>
          <w:lang w:val="en-US"/>
        </w:rPr>
        <w:t>Research Question:</w:t>
      </w:r>
    </w:p>
    <w:p w:rsidR="008571F1" w:rsidRPr="008571F1" w:rsidRDefault="008571F1" w:rsidP="00943D1B">
      <w:pPr>
        <w:rPr>
          <w:lang w:val="en-US"/>
        </w:rPr>
      </w:pPr>
      <w:r>
        <w:rPr>
          <w:lang w:val="en-US"/>
        </w:rPr>
        <w:t xml:space="preserve">How do banks manage their balance sheet positions especially equity and assets under different market </w:t>
      </w:r>
      <w:proofErr w:type="gramStart"/>
      <w:r>
        <w:rPr>
          <w:lang w:val="en-US"/>
        </w:rPr>
        <w:t>conditions?</w:t>
      </w:r>
      <w:proofErr w:type="gramEnd"/>
    </w:p>
    <w:p w:rsidR="00AC6F81" w:rsidRDefault="00AC6F81" w:rsidP="00943D1B">
      <w:pPr>
        <w:rPr>
          <w:i/>
          <w:lang w:val="en-US"/>
        </w:rPr>
      </w:pPr>
      <w:r w:rsidRPr="00EA70A3">
        <w:rPr>
          <w:i/>
          <w:lang w:val="en-US"/>
        </w:rPr>
        <w:t>Contribution to literature:</w:t>
      </w:r>
    </w:p>
    <w:p w:rsidR="008571F1" w:rsidRPr="00EA70A3" w:rsidRDefault="008571F1" w:rsidP="00943D1B">
      <w:pPr>
        <w:rPr>
          <w:i/>
          <w:lang w:val="en-US"/>
        </w:rPr>
      </w:pPr>
      <w:r w:rsidRPr="00A95031">
        <w:rPr>
          <w:lang w:val="en-US"/>
        </w:rPr>
        <w:t>Key insights that financial firms/banks have different balance sheet behavior than non-financial firms</w:t>
      </w:r>
      <w:r>
        <w:rPr>
          <w:i/>
          <w:lang w:val="en-US"/>
        </w:rPr>
        <w:t xml:space="preserve">. </w:t>
      </w:r>
    </w:p>
    <w:p w:rsidR="00AC6F81" w:rsidRDefault="00AC6F81" w:rsidP="00EA70A3">
      <w:pPr>
        <w:rPr>
          <w:i/>
          <w:lang w:val="en-US"/>
        </w:rPr>
      </w:pPr>
      <w:proofErr w:type="spellStart"/>
      <w:r w:rsidRPr="00EA70A3">
        <w:rPr>
          <w:i/>
          <w:lang w:val="en-US"/>
        </w:rPr>
        <w:t>Methology</w:t>
      </w:r>
      <w:proofErr w:type="spellEnd"/>
      <w:r w:rsidRPr="00EA70A3">
        <w:rPr>
          <w:i/>
          <w:lang w:val="en-US"/>
        </w:rPr>
        <w:t>:</w:t>
      </w:r>
    </w:p>
    <w:p w:rsidR="00E53550" w:rsidRPr="00EA70A3" w:rsidRDefault="00E53550" w:rsidP="00EA70A3">
      <w:pPr>
        <w:rPr>
          <w:i/>
          <w:lang w:val="en-US"/>
        </w:rPr>
      </w:pPr>
    </w:p>
    <w:p w:rsidR="00AC6F81" w:rsidRPr="00E53550" w:rsidRDefault="00AC6F81" w:rsidP="00943D1B">
      <w:pPr>
        <w:rPr>
          <w:i/>
          <w:lang w:val="en-US"/>
        </w:rPr>
      </w:pPr>
      <w:r w:rsidRPr="00E53550">
        <w:rPr>
          <w:i/>
          <w:lang w:val="en-US"/>
        </w:rPr>
        <w:t>Main Results:</w:t>
      </w:r>
    </w:p>
    <w:p w:rsidR="00450254" w:rsidRDefault="00450254" w:rsidP="00450254">
      <w:pPr>
        <w:pStyle w:val="Listenabsatz"/>
        <w:numPr>
          <w:ilvl w:val="0"/>
          <w:numId w:val="4"/>
        </w:numPr>
        <w:rPr>
          <w:lang w:val="en-US"/>
        </w:rPr>
      </w:pPr>
      <w:proofErr w:type="gramStart"/>
      <w:r>
        <w:rPr>
          <w:lang w:val="en-US"/>
        </w:rPr>
        <w:t>L</w:t>
      </w:r>
      <w:r w:rsidRPr="00EA70A3">
        <w:rPr>
          <w:lang w:val="en-US"/>
        </w:rPr>
        <w:t>everage</w:t>
      </w:r>
      <w:proofErr w:type="gramEnd"/>
      <w:r w:rsidRPr="00EA70A3">
        <w:rPr>
          <w:lang w:val="en-US"/>
        </w:rPr>
        <w:t xml:space="preserve"> patterns are countercyclical for the U.S. non-ﬁnancial sector, as</w:t>
      </w:r>
      <w:r>
        <w:rPr>
          <w:lang w:val="en-US"/>
        </w:rPr>
        <w:t xml:space="preserve"> </w:t>
      </w:r>
      <w:r w:rsidRPr="00EA70A3">
        <w:rPr>
          <w:lang w:val="en-US"/>
        </w:rPr>
        <w:t>expected, but this is not the case when they focus on particular institutions within the ﬁnancial sector, namely broker dealers.</w:t>
      </w:r>
    </w:p>
    <w:p w:rsidR="008571F1" w:rsidRDefault="008571F1" w:rsidP="008571F1">
      <w:pPr>
        <w:pStyle w:val="Listenabsatz"/>
        <w:numPr>
          <w:ilvl w:val="0"/>
          <w:numId w:val="4"/>
        </w:numPr>
        <w:rPr>
          <w:lang w:val="en-US"/>
        </w:rPr>
      </w:pPr>
      <w:proofErr w:type="gramStart"/>
      <w:r>
        <w:rPr>
          <w:lang w:val="en-US"/>
        </w:rPr>
        <w:t>Leverage</w:t>
      </w:r>
      <w:proofErr w:type="gramEnd"/>
      <w:r>
        <w:rPr>
          <w:lang w:val="en-US"/>
        </w:rPr>
        <w:t xml:space="preserve"> of investment firms </w:t>
      </w:r>
      <w:r w:rsidRPr="008571F1">
        <w:rPr>
          <w:lang w:val="en-US"/>
        </w:rPr>
        <w:t xml:space="preserve">rises during booms and falls during downturns; i.e., the leverage of investment banks is </w:t>
      </w:r>
      <w:proofErr w:type="spellStart"/>
      <w:r w:rsidRPr="008571F1">
        <w:rPr>
          <w:lang w:val="en-US"/>
        </w:rPr>
        <w:t>procyclical</w:t>
      </w:r>
      <w:proofErr w:type="spellEnd"/>
      <w:r w:rsidRPr="008571F1">
        <w:rPr>
          <w:lang w:val="en-US"/>
        </w:rPr>
        <w:t>.</w:t>
      </w:r>
      <w:bookmarkStart w:id="0" w:name="_GoBack"/>
      <w:bookmarkEnd w:id="0"/>
    </w:p>
    <w:p w:rsidR="008571F1" w:rsidRDefault="00A95031" w:rsidP="00A95031">
      <w:pPr>
        <w:pStyle w:val="Listenabsatz"/>
        <w:numPr>
          <w:ilvl w:val="0"/>
          <w:numId w:val="4"/>
        </w:numPr>
        <w:rPr>
          <w:lang w:val="en-US"/>
        </w:rPr>
      </w:pPr>
      <w:r w:rsidRPr="00A95031">
        <w:rPr>
          <w:lang w:val="en-US"/>
        </w:rPr>
        <w:lastRenderedPageBreak/>
        <w:t xml:space="preserve">This </w:t>
      </w:r>
      <w:proofErr w:type="spellStart"/>
      <w:r w:rsidRPr="00A95031">
        <w:rPr>
          <w:lang w:val="en-US"/>
        </w:rPr>
        <w:t>procyclicality</w:t>
      </w:r>
      <w:proofErr w:type="spellEnd"/>
      <w:r w:rsidRPr="00A95031">
        <w:rPr>
          <w:lang w:val="en-US"/>
        </w:rPr>
        <w:t xml:space="preserve"> ampliﬁes the business cycle, potentially leading to systemic risk if asset prices</w:t>
      </w:r>
      <w:r>
        <w:rPr>
          <w:lang w:val="en-US"/>
        </w:rPr>
        <w:t xml:space="preserve"> </w:t>
      </w:r>
      <w:r w:rsidRPr="00A95031">
        <w:rPr>
          <w:lang w:val="en-US"/>
        </w:rPr>
        <w:t>do not properly reﬂect fundamental values (“bubbles”).</w:t>
      </w:r>
    </w:p>
    <w:p w:rsidR="00A95031" w:rsidRPr="00A95031" w:rsidRDefault="00A95031" w:rsidP="00A95031">
      <w:pPr>
        <w:pStyle w:val="Listenabsatz"/>
        <w:numPr>
          <w:ilvl w:val="0"/>
          <w:numId w:val="4"/>
        </w:numPr>
        <w:rPr>
          <w:lang w:val="en-US"/>
        </w:rPr>
      </w:pPr>
      <w:r>
        <w:rPr>
          <w:lang w:val="en-US"/>
        </w:rPr>
        <w:t>Instead of passive letting different market conditions passively control their balance sheet, investment banks actively manage their balance sheet. For example by reducing assets when the overall values of assets fall, they counte</w:t>
      </w:r>
      <w:r w:rsidR="00BD105C">
        <w:rPr>
          <w:lang w:val="en-US"/>
        </w:rPr>
        <w:t xml:space="preserve">r the effect of reduced equity, leading to a </w:t>
      </w:r>
      <w:proofErr w:type="spellStart"/>
      <w:r w:rsidR="00BD105C">
        <w:rPr>
          <w:lang w:val="en-US"/>
        </w:rPr>
        <w:t>procyclical</w:t>
      </w:r>
      <w:proofErr w:type="spellEnd"/>
      <w:r w:rsidR="00BD105C">
        <w:rPr>
          <w:lang w:val="en-US"/>
        </w:rPr>
        <w:t xml:space="preserve"> effect. </w:t>
      </w:r>
    </w:p>
    <w:p w:rsidR="00EA70A3" w:rsidRDefault="00EA70A3" w:rsidP="00943D1B">
      <w:pPr>
        <w:rPr>
          <w:lang w:val="en-US"/>
        </w:rPr>
      </w:pPr>
    </w:p>
    <w:p w:rsidR="002C56C1" w:rsidRDefault="002C56C1" w:rsidP="00943D1B">
      <w:pPr>
        <w:rPr>
          <w:lang w:val="en-US"/>
        </w:rPr>
      </w:pPr>
    </w:p>
    <w:p w:rsidR="002C56C1" w:rsidRDefault="002C56C1" w:rsidP="00943D1B">
      <w:pPr>
        <w:rPr>
          <w:lang w:val="en-US"/>
        </w:rPr>
      </w:pPr>
    </w:p>
    <w:p w:rsidR="002C56C1" w:rsidRDefault="002C56C1" w:rsidP="00943D1B">
      <w:pPr>
        <w:rPr>
          <w:lang w:val="en-US"/>
        </w:rPr>
      </w:pPr>
      <w:proofErr w:type="spellStart"/>
      <w:r w:rsidRPr="002C56C1">
        <w:rPr>
          <w:lang w:val="en-US"/>
        </w:rPr>
        <w:t>Fornell</w:t>
      </w:r>
      <w:proofErr w:type="spellEnd"/>
      <w:r w:rsidRPr="002C56C1">
        <w:rPr>
          <w:lang w:val="en-US"/>
        </w:rPr>
        <w:t xml:space="preserve">, C. and D. </w:t>
      </w:r>
      <w:proofErr w:type="spellStart"/>
      <w:r w:rsidRPr="002C56C1">
        <w:rPr>
          <w:lang w:val="en-US"/>
        </w:rPr>
        <w:t>Larcker</w:t>
      </w:r>
      <w:proofErr w:type="spellEnd"/>
      <w:r w:rsidRPr="002C56C1">
        <w:rPr>
          <w:lang w:val="en-US"/>
        </w:rPr>
        <w:t>. 1980. “The Use of Canonical Correlation Analysis in Accounting Research,” Journal of Business Finance &amp; Accounting 7 (3): 455-473.</w:t>
      </w:r>
    </w:p>
    <w:p w:rsidR="002C56C1" w:rsidRDefault="002C56C1" w:rsidP="00943D1B">
      <w:pPr>
        <w:rPr>
          <w:lang w:val="en-US"/>
        </w:rPr>
      </w:pPr>
    </w:p>
    <w:p w:rsidR="002C56C1" w:rsidRDefault="002C56C1" w:rsidP="00943D1B">
      <w:pPr>
        <w:rPr>
          <w:lang w:val="en-US"/>
        </w:rPr>
      </w:pPr>
      <w:proofErr w:type="spellStart"/>
      <w:r w:rsidRPr="002C56C1">
        <w:rPr>
          <w:lang w:val="en-US"/>
        </w:rPr>
        <w:t>Freixas</w:t>
      </w:r>
      <w:proofErr w:type="spellEnd"/>
      <w:r w:rsidRPr="002C56C1">
        <w:rPr>
          <w:lang w:val="en-US"/>
        </w:rPr>
        <w:t>, Xavier, and Jean-Charles Rochet. 1999. Microeconomics of Banking. Cambridge: MIT Press.</w:t>
      </w:r>
    </w:p>
    <w:p w:rsidR="002C56C1" w:rsidRDefault="002C56C1" w:rsidP="00943D1B">
      <w:pPr>
        <w:rPr>
          <w:lang w:val="en-US"/>
        </w:rPr>
      </w:pPr>
    </w:p>
    <w:p w:rsidR="002C56C1" w:rsidRDefault="002C56C1" w:rsidP="00943D1B">
      <w:pPr>
        <w:rPr>
          <w:lang w:val="en-US"/>
        </w:rPr>
      </w:pPr>
      <w:r w:rsidRPr="002C56C1">
        <w:rPr>
          <w:lang w:val="en-US"/>
        </w:rPr>
        <w:t>MacKay, P. and G.M. Phillips. 2002. “Is There an Optimal Industry Financial Structure?” working paper, University of Maryland.</w:t>
      </w:r>
    </w:p>
    <w:p w:rsidR="002C56C1" w:rsidRDefault="002C56C1" w:rsidP="00943D1B">
      <w:pPr>
        <w:rPr>
          <w:lang w:val="en-US"/>
        </w:rPr>
      </w:pPr>
    </w:p>
    <w:p w:rsidR="002C56C1" w:rsidRDefault="002C56C1" w:rsidP="00943D1B">
      <w:pPr>
        <w:rPr>
          <w:lang w:val="en-US"/>
        </w:rPr>
      </w:pPr>
      <w:r w:rsidRPr="002C56C1">
        <w:rPr>
          <w:lang w:val="en-US"/>
        </w:rPr>
        <w:t>Simonson, D., J. Stowe, and C. Watson. 1983. “A Canonical Correlation Analysis of Commercial Bank Asset/Liability Structures,” Journal of Financial and Quantitative Analysis 18: 125-140.</w:t>
      </w:r>
    </w:p>
    <w:p w:rsidR="002C56C1" w:rsidRDefault="002C56C1" w:rsidP="00943D1B">
      <w:pPr>
        <w:rPr>
          <w:lang w:val="en-US"/>
        </w:rPr>
      </w:pPr>
    </w:p>
    <w:p w:rsidR="002C56C1" w:rsidRPr="002C56C1" w:rsidRDefault="002C56C1" w:rsidP="00943D1B">
      <w:pPr>
        <w:rPr>
          <w:lang w:val="en-US"/>
        </w:rPr>
      </w:pPr>
      <w:r w:rsidRPr="002C56C1">
        <w:rPr>
          <w:lang w:val="en-US"/>
        </w:rPr>
        <w:t xml:space="preserve">Song, F., and A. </w:t>
      </w:r>
      <w:proofErr w:type="spellStart"/>
      <w:r w:rsidRPr="002C56C1">
        <w:rPr>
          <w:lang w:val="en-US"/>
        </w:rPr>
        <w:t>Thakor</w:t>
      </w:r>
      <w:proofErr w:type="spellEnd"/>
      <w:r w:rsidRPr="002C56C1">
        <w:rPr>
          <w:lang w:val="en-US"/>
        </w:rPr>
        <w:t>. 2007. “Relationship Banking, Fragility, and the Asset-Liability Matching Problem,” Review of Financial Studies 20: 2129-2177.</w:t>
      </w:r>
    </w:p>
    <w:sectPr w:rsidR="002C56C1" w:rsidRPr="002C56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07A9"/>
    <w:multiLevelType w:val="hybridMultilevel"/>
    <w:tmpl w:val="B46665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06A3218"/>
    <w:multiLevelType w:val="hybridMultilevel"/>
    <w:tmpl w:val="15887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66284B"/>
    <w:multiLevelType w:val="hybridMultilevel"/>
    <w:tmpl w:val="02FCE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3D052E"/>
    <w:multiLevelType w:val="hybridMultilevel"/>
    <w:tmpl w:val="CF3A7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1B"/>
    <w:rsid w:val="00241AE4"/>
    <w:rsid w:val="002500E4"/>
    <w:rsid w:val="002C56C1"/>
    <w:rsid w:val="00450254"/>
    <w:rsid w:val="005646B4"/>
    <w:rsid w:val="006C3C0B"/>
    <w:rsid w:val="00756A50"/>
    <w:rsid w:val="00793D21"/>
    <w:rsid w:val="008571F1"/>
    <w:rsid w:val="00943D1B"/>
    <w:rsid w:val="00A95031"/>
    <w:rsid w:val="00AC6F81"/>
    <w:rsid w:val="00BD105C"/>
    <w:rsid w:val="00CA4C76"/>
    <w:rsid w:val="00D4292C"/>
    <w:rsid w:val="00E42EA6"/>
    <w:rsid w:val="00E53550"/>
    <w:rsid w:val="00E6247A"/>
    <w:rsid w:val="00EA70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B848"/>
  <w15:chartTrackingRefBased/>
  <w15:docId w15:val="{6D8DEC9A-1BA0-4FA2-B774-2AB371C0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3014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Schlechter</dc:creator>
  <cp:keywords/>
  <dc:description/>
  <cp:lastModifiedBy>AlexanderSchlechter</cp:lastModifiedBy>
  <cp:revision>13</cp:revision>
  <dcterms:created xsi:type="dcterms:W3CDTF">2020-01-21T17:01:00Z</dcterms:created>
  <dcterms:modified xsi:type="dcterms:W3CDTF">2020-03-27T18:14:00Z</dcterms:modified>
</cp:coreProperties>
</file>