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apertitle"/>
      </w:pPr>
      <w:r>
        <w:t>Анализ на изображения за разпознаване на обекти при движение по път (Road Analysis)</w:t>
      </w:r>
    </w:p>
    <w:p>
      <w:pPr>
        <w:pStyle w:val="papersubtitle"/>
      </w:pPr>
      <w:r>
        <w:t>Сравнителен преглед на методи за детекция на пътни обекти</w:t>
      </w:r>
    </w:p>
    <w:p>
      <w:pPr>
        <w:pStyle w:val="Author"/>
      </w:pPr>
      <w:r>
        <w:t>Кирил Вълков</w:t>
      </w:r>
    </w:p>
    <w:p>
      <w:pPr>
        <w:pStyle w:val="Affiliation"/>
      </w:pPr>
      <w:r>
        <w:t>фак. № 121326013, група 222</w:t>
      </w:r>
    </w:p>
    <w:p>
      <w:pPr>
        <w:pStyle w:val="Affiliation"/>
      </w:pPr>
      <w:r>
        <w:t>e-mail: kvalkov@tu-sofia.bg</w:t>
      </w:r>
    </w:p>
    <w:p>
      <w:pPr>
        <w:pStyle w:val="Abstract"/>
      </w:pPr>
      <w:r>
        <w:t>Резюме: Работата разглежда задачата за автоматично разпознаване на обекти – автомобили, пешеходци, велосипедисти и пътни знаци – в изображения, получени от камера, монтирана на движещо се превозно средство. Описани са особеностите на пътната среда (различни мащаби, частични закривания, променливо осветление, дъжд и нощни условия), класическите подходи, основани на ръчно проектирани признаци, и съвременните детектори на базата на дълбоко обучение. Представени са наборите от данни и метриките за оценка, както и сравнение на публикуваните резултати за YOLO, SSD и Faster R-CNN. Направено е заключение за избора на метод според изискванията за точност и бързодействие и е очертан конвейер за анализ на пътната обстановка, включващ детекция, проследяване и оценка на разстояние.</w:t>
      </w:r>
    </w:p>
    <w:p>
      <w:pPr>
        <w:pStyle w:val="keywords"/>
      </w:pPr>
      <w:r>
        <w:t>Ключови думи: компютърно зрение; разпознаване на обекти; пътна безопасност; дълбоко обучение; YOLO; SSD; Faster R-CNN; COCO; KITTI; mAP</w:t>
      </w:r>
    </w:p>
    <w:p>
      <w:pPr>
        <w:pStyle w:val="Heading1"/>
      </w:pPr>
      <w:r>
        <w:t>Въведение</w:t>
      </w:r>
    </w:p>
    <w:p>
      <w:pPr>
        <w:pStyle w:val="BodyText"/>
      </w:pPr>
      <w:r>
        <w:t>Системите за подпомагане на шофьора (ADAS) и автономното движение все по-често разчитат на камери, които непрекъснато анализират околната среда. Навременното откриване на пешеходци, превозни средства и пътна сигнализация е необходимо условие за предотвратяване на катастрофи и за безопасни решения на бордовата система. Задачата е трудна, защото обектите се появяват в широк диапазон от мащаби, често са частично закрити, а кадрите са засегнати от движението на камерата (размазване), слънчева светлина, сенки, дъжд, мъгла и нощно осветление [1], [2].</w:t>
      </w:r>
    </w:p>
    <w:p>
      <w:pPr>
        <w:pStyle w:val="BodyText"/>
      </w:pPr>
      <w:r>
        <w:t>Публично достъпните набори от данни с пътни сцени, като KITTI [1] и Cityscapes [2], и развитието на детекторите на обекти през последните години позволиха обективно сравнение на методите. Целта на работата е да се систематизират подходите за детекция на обекти в пътна среда, да се сравнят публикуваните им резултати по точност и бързодействие и да се формулира препоръка за практическо приложение.</w:t>
      </w:r>
    </w:p>
    <w:p>
      <w:pPr>
        <w:pStyle w:val="BodyText"/>
      </w:pPr>
      <w:r>
        <w:t>В секция „Методи“ са описани задачата, класическите и дълбоките подходи, наборите от данни и метриките за оценка. Секция „Резултати“ съдържа сравнителния анализ на публикуваните резултати, а в „Заключение“ са обсъдени препоръките, ограниченията и насоките за по-нататъшна работа.</w:t>
      </w:r>
    </w:p>
    <w:p>
      <w:pPr>
        <w:pStyle w:val="Heading1"/>
      </w:pPr>
      <w:r>
        <w:t>Методи (подходи за решаване на проблема)</w:t>
      </w:r>
    </w:p>
    <w:p>
      <w:pPr>
        <w:pStyle w:val="Heading2"/>
      </w:pPr>
      <w:r>
        <w:t>Формулировка на задачата</w:t>
      </w:r>
    </w:p>
    <w:p>
      <w:pPr>
        <w:pStyle w:val="BodyText"/>
      </w:pPr>
      <w:r>
        <w:t>Входът е редица от кадри, заснети с камера, закрепена към превозното средство. За всеки кадър се търсят наблюдения, състоящи се от ограждащ правоъгълник, клас и степен на увереност. Обичайните класове са автомобили, камиони, автобуси, пешеходци, велосипедисти, мотоциклети, пътни знаци и светофари. Освен точността върху отделния кадър, при пътния анализ важни са две допълнителни изисквания:</w:t>
      </w:r>
    </w:p>
    <w:p>
      <w:pPr>
        <w:pStyle w:val="bulletlist"/>
      </w:pPr>
      <w:r>
        <w:t>бързодействие – при камера с 25–30 кадъра в секунда системата трябва да обработва кадрите без натрупване на закъснение;</w:t>
      </w:r>
    </w:p>
    <w:p>
      <w:pPr>
        <w:pStyle w:val="bulletlist"/>
      </w:pPr>
      <w:r>
        <w:t>устойчивост във времето – обектът трябва да се проследява между кадрите, а не да се разпознава отново във всеки от тях.</w:t>
      </w:r>
    </w:p>
    <w:p>
      <w:pPr>
        <w:pStyle w:val="Heading2"/>
      </w:pPr>
      <w:r>
        <w:t>Класически подходи</w:t>
      </w:r>
    </w:p>
    <w:p>
      <w:pPr>
        <w:pStyle w:val="BodyText"/>
      </w:pPr>
      <w:r>
        <w:t>Преди появата на дълбокото обучение обектите се разпознават чрез ръчно проектирани признаци и класификатор. Виола и Джоунс [3] предлагат каскада от засилени (boosted) прости признаци на Хаар, която дава бърза детекция на лица и пешеходци. Далал и Тригс [4] въвеждат дескриптора HOG (хистограми на ориентирани градиенти) в комбинация с линеен SVM, който се превръща в стандарт за детекция на пешеходци. Локалните дескриптори SIFT [5] позволяват съпоставяне на характерни точки между кадри, а детекторът на ръбове на Канини [6] е в основата на много предварителни стъпки при обработката на изображения.</w:t>
      </w:r>
    </w:p>
    <w:p>
      <w:pPr>
        <w:pStyle w:val="BodyText"/>
      </w:pPr>
      <w:r>
        <w:t>Основният недостатък на тези методи е чувствителността им към промени в осветлението, ъгъла на заснемане и мащаба, а добавянето на нов клас изисква ново проектиране на признаците. За ограничен брой класове в контролирана среда подходите остават полезни и бързи, но в реална пътна среда се използват рядко като единствен метод.</w:t>
      </w:r>
    </w:p>
    <w:p>
      <w:pPr>
        <w:pStyle w:val="Heading2"/>
      </w:pPr>
      <w:r>
        <w:t>Детектори на базата на дълбоко обучение</w:t>
      </w:r>
    </w:p>
    <w:p>
      <w:pPr>
        <w:pStyle w:val="BodyText"/>
      </w:pPr>
      <w:r>
        <w:t>Съвременните детектори се обучават от край до край върху големи набори от анотирани изображения и се делят условно на две групи. Двуетапните детектори първо генерират предложения за региони, а после ги класифицират и уточняват координатите им. Представител е Faster R-CNN [7], който заменя външния генератор на предложения с мрежа за предложения (region proposal network). Едноетапните детектори предсказват класовете и координатите директно от картата на признаците. Към тях спадат YOLO [8], който третира откриването като една регресионна задача с едно преминаване през мрежата, и SSD [9], който предсказва обекти в няколко карти с различна резолюция. За мащабите на обектите в пътна сцена е важна и пирамидата на признаците (FPN) [10], която подобрява откриването на малки обекти, например далечни автомобили и пешеходци.</w:t>
      </w:r>
    </w:p>
    <w:p>
      <w:pPr>
        <w:pStyle w:val="BodyText"/>
      </w:pPr>
      <w:r>
        <w:t>Трансформърните детектори, като DETR [11], премахват ръчно проектираните компоненти, например котвите и потискането на препокриващи се кутии, и предсказват множеството от обекти директно. Серията YOLO продължава да се развива; YOLOv4 [12] комбинира оптимизации за скорост и точност.</w:t>
      </w:r>
    </w:p>
    <w:p>
      <w:pPr>
        <w:pStyle w:val="Heading2"/>
      </w:pPr>
      <w:r>
        <w:t>Набори от данни</w:t>
      </w:r>
    </w:p>
    <w:p>
      <w:pPr>
        <w:pStyle w:val="BodyText"/>
      </w:pPr>
      <w:r>
        <w:t>Оценката на методите се базира на стандартизирани набори от данни. COCO [13] съдържа около 330 000 изображения и 80 категории и е основният ориентир за общи детектори. KITTI [1] предлага кадри от камери и LiDAR, заснети в градска и извънградска среда, с етикети за автомобили, пешеходци и велосипедисти. Cityscapes [2] съдържа ръчно анотирани градски сцени от 50 града и е подходящ за сегментация и детекция. Поради различията в условията на заснемане пренасянето на модел от един набор към друг обикновено води до спад в точността.</w:t>
      </w:r>
    </w:p>
    <w:p>
      <w:pPr>
        <w:pStyle w:val="Heading2"/>
      </w:pPr>
      <w:r>
        <w:t>Метрики за оценка</w:t>
      </w:r>
    </w:p>
    <w:p>
      <w:pPr>
        <w:pStyle w:val="BodyText"/>
      </w:pPr>
      <w:r>
        <w:t>Метриките следват определението на PASCAL VOC [14]. Съвпадението между предсказаната и реалната кутия се измерва с пресичане над обединение (IoU):</w:t>
      </w:r>
    </w:p>
    <w:p>
      <w:pPr>
        <w:pStyle w:val="equation"/>
      </w:pPr>
      <w:r>
        <w:t>IoU = |A ∩ B| / |A ∪ B|                    (1)</w:t>
      </w:r>
    </w:p>
    <w:p>
      <w:pPr>
        <w:pStyle w:val="BodyText"/>
      </w:pPr>
      <w:r>
        <w:t>където A е предсказаната, а B – реалната ограждаща кутия. Предсказанието се приема за вярно, ако IoU е над зададен праг (обикновено 0,5). При този праг се изчисляват прецизност (P) и покритие (R):</w:t>
      </w:r>
    </w:p>
    <w:p>
      <w:pPr>
        <w:pStyle w:val="equation"/>
      </w:pPr>
      <w:r>
        <w:t>P = TP / (TP + FP),    R = TP / (TP + FN)                    (2)</w:t>
      </w:r>
    </w:p>
    <w:p>
      <w:pPr>
        <w:pStyle w:val="BodyText"/>
      </w:pPr>
      <w:r>
        <w:t>където TP са верните детекции, FP – фалшивите детекции, а FN – пропуснатите обекти. Средната точност (AP) е лицето под кривата P(R) за даден клас, а средната средна точност (mAP) е средното AP по всички класове:</w:t>
      </w:r>
    </w:p>
    <w:p>
      <w:pPr>
        <w:pStyle w:val="equation"/>
      </w:pPr>
      <w:r>
        <w:t>mAP = (1/C) · Σ AP_c, c = 1…C                    (3)</w:t>
      </w:r>
    </w:p>
    <w:p>
      <w:pPr>
        <w:pStyle w:val="BodyText"/>
      </w:pPr>
      <w:r>
        <w:t>където C е броят на класовете. Бързодействието се измерва в кадри в секунда (FPS) и трябва да се посочва заедно с използвания хардуер, тъй като стойностите не са сравними между различни графични ускорители.</w:t>
      </w:r>
    </w:p>
    <w:p>
      <w:pPr>
        <w:pStyle w:val="Heading2"/>
      </w:pPr>
      <w:r>
        <w:t>Конвейер за анализ на пътната обстановка</w:t>
      </w:r>
    </w:p>
    <w:p>
      <w:pPr>
        <w:pStyle w:val="BodyText"/>
      </w:pPr>
      <w:r>
        <w:t>Детекцията е първата стъпка. За пълен пътен анализ резултатите се подават към проследяване между кадрите (например по припокриване на кутиите или по признаци за външен вид), за да се определят траекториите и скоростите на обектите. Разстоянието до обект върху равна пътна настилка може да се оцени с модела на камерата с дупка (pinhole) [15]. Параметрите на камерата се определят чрез калибриране, например по метода на Жанг [16]:</w:t>
      </w:r>
    </w:p>
    <w:p>
      <w:pPr>
        <w:pStyle w:val="equation"/>
      </w:pPr>
      <w:r>
        <w:t>Z = f · H / h                    (4)</w:t>
      </w:r>
    </w:p>
    <w:p>
      <w:pPr>
        <w:pStyle w:val="BodyText"/>
      </w:pPr>
      <w:r>
        <w:t>където Z е разстоянието до обекта, f е фокусното разстояние в пиксели, H е реалната височина на обекта, а h е височината му в пиксели в изображението. Формулата дава приблизителна стойност, която се влошава при наклон на пътя и при неточно приета височина на обекта, затова е подходяща за ориентиране, а не за точно измерване.</w:t>
      </w:r>
    </w:p>
    <w:p>
      <w:pPr>
        <w:pStyle w:val="Heading2"/>
      </w:pPr>
      <w:r>
        <w:t>Откриване на пътна маркировка</w:t>
      </w:r>
    </w:p>
    <w:p>
      <w:pPr>
        <w:pStyle w:val="BodyText"/>
      </w:pPr>
      <w:r>
        <w:t>Пътната маркировка е типичен пример за задача, в която класическите методи от курса са ефективни. Стандартната последователност е: преобразуване в сиво, Гаусово изглаждане, откриване на ръбове с оператора на Канини [6], ограничаване на интересната област до долната част на кадъра, където е пътят, и Hough трансформация за откриване на прави [17]. Всяка точка от изображението се преобразува в синусоида в пространството (ρ, θ), а максимумите на натрупването съответстват на прави линии:</w:t>
      </w:r>
    </w:p>
    <w:p>
      <w:pPr>
        <w:pStyle w:val="equation"/>
      </w:pPr>
      <w:r>
        <w:t>ρ = x · cos θ + y · sin θ                    (5)</w:t>
      </w:r>
    </w:p>
    <w:p>
      <w:pPr>
        <w:pStyle w:val="BodyText"/>
      </w:pPr>
      <w:r>
        <w:t>където (x, y) е точка от изображението, θ е ъгълът на нормалата към правата, а ρ е разстоянието от началото до правата. Линиите се филтрират по наклон, за да се отхвърлят хоризонталните ръбове и почти вертикалните ръбове от сгради и автомобили. Методът е бърз и обясним, но работи добре само при относително прави участъци, сух път и добър контраст. При криволичещи пътища и дъжд се използват полиномни модели или детектори с дълбоко обучение.</w:t>
      </w:r>
    </w:p>
    <w:p>
      <w:pPr>
        <w:pStyle w:val="Heading1"/>
      </w:pPr>
      <w:r>
        <w:t>Резултати</w:t>
      </w:r>
    </w:p>
    <w:p>
      <w:pPr>
        <w:pStyle w:val="BodyText"/>
      </w:pPr>
      <w:r>
        <w:t>Работата е аналитична и не включва собствено обучение на модели. Резултатите са взети от оригиналните публикации на методите и са получени върху тестовия набор на PASCAL VOC 2007 [14]. Таблица 1 съдържа подбрани стойности за три представителни детектора.</w:t>
      </w:r>
    </w:p>
    <w:p>
      <w:pPr>
        <w:pStyle w:val="tablehead"/>
      </w:pPr>
      <w:r>
        <w:t>Таблица 1. Публикувани резултати на детектори върху VOC 2007 (тестов набор)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pPr>
              <w:pStyle w:val="tablecolhead"/>
            </w:pPr>
            <w:r>
              <w:t>Метод</w:t>
            </w:r>
          </w:p>
        </w:tc>
        <w:tc>
          <w:tcPr>
            <w:tcW w:type="dxa" w:w="2088"/>
          </w:tcPr>
          <w:p>
            <w:pPr>
              <w:pStyle w:val="tablecolhead"/>
            </w:pPr>
            <w:r>
              <w:t>Тип</w:t>
            </w:r>
          </w:p>
        </w:tc>
        <w:tc>
          <w:tcPr>
            <w:tcW w:type="dxa" w:w="2088"/>
          </w:tcPr>
          <w:p>
            <w:pPr>
              <w:pStyle w:val="tablecolhead"/>
            </w:pPr>
            <w:r>
              <w:t>mAP, %</w:t>
            </w:r>
          </w:p>
        </w:tc>
        <w:tc>
          <w:tcPr>
            <w:tcW w:type="dxa" w:w="2088"/>
          </w:tcPr>
          <w:p>
            <w:pPr>
              <w:pStyle w:val="tablecolhead"/>
            </w:pPr>
            <w:r>
              <w:t>FPS</w:t>
            </w:r>
          </w:p>
        </w:tc>
        <w:tc>
          <w:tcPr>
            <w:tcW w:type="dxa" w:w="2088"/>
          </w:tcPr>
          <w:p>
            <w:pPr>
              <w:pStyle w:val="tablecolhead"/>
            </w:pPr>
            <w:r>
              <w:t>Източник</w:t>
            </w:r>
          </w:p>
        </w:tc>
      </w:tr>
      <w:tr>
        <w:tc>
          <w:tcPr>
            <w:tcW w:type="dxa" w:w="2088"/>
          </w:tcPr>
          <w:p>
            <w:pPr>
              <w:pStyle w:val="tablecopy"/>
            </w:pPr>
            <w:r>
              <w:t>YOLO (v1)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едноетапен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63,4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45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[8]</w:t>
            </w:r>
          </w:p>
        </w:tc>
      </w:tr>
      <w:tr>
        <w:tc>
          <w:tcPr>
            <w:tcW w:type="dxa" w:w="2088"/>
          </w:tcPr>
          <w:p>
            <w:pPr>
              <w:pStyle w:val="tablecopy"/>
            </w:pPr>
            <w:r>
              <w:t>Faster R-CNN (VGG-16)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двуетапен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73,2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≈ 5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[7]</w:t>
            </w:r>
          </w:p>
        </w:tc>
      </w:tr>
      <w:tr>
        <w:tc>
          <w:tcPr>
            <w:tcW w:type="dxa" w:w="2088"/>
          </w:tcPr>
          <w:p>
            <w:pPr>
              <w:pStyle w:val="tablecopy"/>
            </w:pPr>
            <w:r>
              <w:t>SSD300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едноетапен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74,3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59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[9]</w:t>
            </w:r>
          </w:p>
        </w:tc>
      </w:tr>
      <w:tr>
        <w:tc>
          <w:tcPr>
            <w:tcW w:type="dxa" w:w="2088"/>
          </w:tcPr>
          <w:p>
            <w:pPr>
              <w:pStyle w:val="tablecopy"/>
            </w:pPr>
            <w:r>
              <w:t>SSD512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едноетапен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76,9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22</w:t>
            </w:r>
          </w:p>
        </w:tc>
        <w:tc>
          <w:tcPr>
            <w:tcW w:type="dxa" w:w="2088"/>
          </w:tcPr>
          <w:p>
            <w:pPr>
              <w:pStyle w:val="tablecopy"/>
            </w:pPr>
            <w:r>
              <w:t>[9]</w:t>
            </w:r>
          </w:p>
        </w:tc>
      </w:tr>
    </w:tbl>
    <w:p>
      <w:pPr>
        <w:pStyle w:val="tablefootnote"/>
      </w:pPr>
      <w:r>
        <w:t>Забележка: стойностите са взети от оригиналните статии и са получени на различен графичен хардуер, затова FPS не са пряко сравними. Резултатите са за общия набор VOC, а не за пътна среда.</w:t>
      </w:r>
    </w:p>
    <w:p>
      <w:pPr>
        <w:pStyle w:val="BodyText"/>
      </w:pPr>
      <w:r>
        <w:t>Резултатите показват типичния компромис между точност и бързодействие. Едноетапният SSD300 и YOLO постигат висока скорост и са подходящи за работа в реално време, докато двуетапният Faster R-CNN е значително по-бавен. SSD512 показва, че по-високата входна резолюция повишава точността за сметка на скоростта, което е важно за далечни обекти. Авторите на YOLO отбелязват, че първата версия допуска повече грешки при локализация и при малки обекти в сравнение с двуетапните методи [8].</w:t>
      </w:r>
    </w:p>
    <w:p>
      <w:pPr>
        <w:pStyle w:val="BodyText"/>
      </w:pPr>
      <w:r>
        <w:t>Оценките върху пътни набори като KITTI и Cityscapes обикновено са по-ниски, отколкото върху VOC или COCO, защото обектите са по-малки, по-често закрити, а условията се сменят. Затова изборът на метод трябва да се основава на тестове върху данни, близки до целевата среда, а не само на публикуваните цифри.</w:t>
      </w:r>
    </w:p>
    <w:p>
      <w:pPr>
        <w:pStyle w:val="BodyText"/>
      </w:pPr>
      <w:r>
        <w:t>Таблица 2 обобщава пригодността на трите групи подходи за основните пътни сценарии. Оценките са качествени и се основават на общите свойства на методите, описани по-горе.</w:t>
      </w:r>
    </w:p>
    <w:p>
      <w:pPr>
        <w:pStyle w:val="tablehead"/>
      </w:pPr>
      <w:r>
        <w:t>Таблица 2. Качествена пригодност на подходите по пътни сценарии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</w:tcPr>
          <w:p>
            <w:pPr>
              <w:pStyle w:val="tablecolhead"/>
            </w:pPr>
            <w:r>
              <w:t>Сценарий</w:t>
            </w:r>
          </w:p>
        </w:tc>
        <w:tc>
          <w:tcPr>
            <w:tcW w:type="dxa" w:w="2610"/>
          </w:tcPr>
          <w:p>
            <w:pPr>
              <w:pStyle w:val="tablecolhead"/>
            </w:pPr>
            <w:r>
              <w:t>Класически (HOG, Hough)</w:t>
            </w:r>
          </w:p>
        </w:tc>
        <w:tc>
          <w:tcPr>
            <w:tcW w:type="dxa" w:w="2610"/>
          </w:tcPr>
          <w:p>
            <w:pPr>
              <w:pStyle w:val="tablecolhead"/>
            </w:pPr>
            <w:r>
              <w:t>Едноетапен (YOLO, SSD)</w:t>
            </w:r>
          </w:p>
        </w:tc>
        <w:tc>
          <w:tcPr>
            <w:tcW w:type="dxa" w:w="2610"/>
          </w:tcPr>
          <w:p>
            <w:pPr>
              <w:pStyle w:val="tablecolhead"/>
            </w:pPr>
            <w:r>
              <w:t>Двуетапен (Faster R-CNN)</w:t>
            </w:r>
          </w:p>
        </w:tc>
      </w:tr>
      <w:tr>
        <w:tc>
          <w:tcPr>
            <w:tcW w:type="dxa" w:w="2610"/>
          </w:tcPr>
          <w:p>
            <w:pPr>
              <w:pStyle w:val="tablecopy"/>
            </w:pPr>
            <w:r>
              <w:t>Ясно време, дневна светлина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средна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висока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висока</w:t>
            </w:r>
          </w:p>
        </w:tc>
      </w:tr>
      <w:tr>
        <w:tc>
          <w:tcPr>
            <w:tcW w:type="dxa" w:w="2610"/>
          </w:tcPr>
          <w:p>
            <w:pPr>
              <w:pStyle w:val="tablecopy"/>
            </w:pPr>
            <w:r>
              <w:t>Дъжд, нощно осветление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слаба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средна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средна</w:t>
            </w:r>
          </w:p>
        </w:tc>
      </w:tr>
      <w:tr>
        <w:tc>
          <w:tcPr>
            <w:tcW w:type="dxa" w:w="2610"/>
          </w:tcPr>
          <w:p>
            <w:pPr>
              <w:pStyle w:val="tablecopy"/>
            </w:pPr>
            <w:r>
              <w:t>Далечни и малки обекти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слаба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средна (с FPN – добра)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висока</w:t>
            </w:r>
          </w:p>
        </w:tc>
      </w:tr>
      <w:tr>
        <w:tc>
          <w:tcPr>
            <w:tcW w:type="dxa" w:w="2610"/>
          </w:tcPr>
          <w:p>
            <w:pPr>
              <w:pStyle w:val="tablecopy"/>
            </w:pPr>
            <w:r>
              <w:t>Работа в реално време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висока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висока</w:t>
            </w:r>
          </w:p>
        </w:tc>
        <w:tc>
          <w:tcPr>
            <w:tcW w:type="dxa" w:w="2610"/>
          </w:tcPr>
          <w:p>
            <w:pPr>
              <w:pStyle w:val="tablecopy"/>
            </w:pPr>
            <w:r>
              <w:t>ограничена</w:t>
            </w:r>
          </w:p>
        </w:tc>
      </w:tr>
    </w:tbl>
    <w:p>
      <w:pPr>
        <w:pStyle w:val="tablefootnote"/>
      </w:pPr>
      <w:r>
        <w:t>Забележка: оценките са качествени и не заменят измервания върху целевите данни.</w:t>
      </w:r>
    </w:p>
    <w:p>
      <w:pPr>
        <w:pStyle w:val="BodyText"/>
      </w:pPr>
      <w:r>
        <w:t>Резултатите потвърждават, че няма универсално най-добър метод. Класическите подходи са подходящи за ограничени и контролирани условия, а дълбоките детектори са по-устойчиви на разнообразието на пътната среда. Поради това на практика често се комбинират: един бърз детектор за основната детекция и допълнителна обработка за проследяване и оценка на разстояние.</w:t>
      </w:r>
    </w:p>
    <w:p>
      <w:pPr>
        <w:pStyle w:val="Heading1"/>
      </w:pPr>
      <w:r>
        <w:t>Заключение</w:t>
      </w:r>
    </w:p>
    <w:p>
      <w:pPr>
        <w:pStyle w:val="BodyText"/>
      </w:pPr>
      <w:r>
        <w:t>Детекцията на обекти в пътна среда е зряла, но все още предизвикателна задача. Класическите методи са полезни при ограничени условия, а дълбоките детектори дават значително по-добри резултати. За приложения в реално време, например бордова система за подпомагане на шофьора, препоръчителен е едноетапен детектор от типа YOLO или SSD с пирамида на признаците, съчетан с проследяване. Когато се изисква по-висока точност за далечни обекти, може да се използва двуетапен детектор, като се приеме по-ниска скорост на обработка.</w:t>
      </w:r>
    </w:p>
    <w:p>
      <w:pPr>
        <w:pStyle w:val="BodyText"/>
      </w:pPr>
      <w:r>
        <w:t>Основните ограничения са зависимостта от данните за обучение, спадът при нощни условия, дъжд и сняг и липсата на гаранции за надеждност, каквито изисква безопасността на движението. Перспективни насоки са трансформърните детектори [11], сливането на камера с LiDAR или радар, оптимизацията за вградени устройства и адаптацията към нови условия без пълно ново анотиране.</w:t>
      </w:r>
    </w:p>
    <w:p>
      <w:pPr>
        <w:pStyle w:val="Heading1"/>
      </w:pPr>
      <w:r>
        <w:t>Литература</w:t>
      </w:r>
    </w:p>
    <w:p>
      <w:pPr>
        <w:pStyle w:val="references"/>
      </w:pPr>
      <w:r>
        <w:t>Geiger A., Lenz P., Urtasun R. Are we ready for autonomous driving? The KITTI vision benchmark suite. In: Proc. IEEE CVPR, Providence, 2012, с. 3354–3361.</w:t>
      </w:r>
    </w:p>
    <w:p>
      <w:pPr>
        <w:pStyle w:val="references"/>
      </w:pPr>
      <w:r>
        <w:t>Cordts M., Omran M., Ramos S., Rehfeld T., Enzweiler M., Benenson R., Franke U., Roth S., Schiele B. The Cityscapes dataset for semantic urban scene understanding. In: Proc. IEEE CVPR, Las Vegas, 2016, с. 3213–3223.</w:t>
      </w:r>
    </w:p>
    <w:p>
      <w:pPr>
        <w:pStyle w:val="references"/>
      </w:pPr>
      <w:r>
        <w:t>Viola P., Jones M. Rapid object detection using a boosted cascade of simple features. In: Proc. IEEE CVPR, Kauai, 2001, т. 1, с. 511–518.</w:t>
      </w:r>
    </w:p>
    <w:p>
      <w:pPr>
        <w:pStyle w:val="references"/>
      </w:pPr>
      <w:r>
        <w:t>Dalal N., Triggs B. Histograms of oriented gradients for human detection. In: Proc. IEEE CVPR, San Diego, 2005, т. 1, с. 886–893.</w:t>
      </w:r>
    </w:p>
    <w:p>
      <w:pPr>
        <w:pStyle w:val="references"/>
      </w:pPr>
      <w:r>
        <w:t>Lowe D. G. Distinctive image features from scale-invariant keypoints. International Journal of Computer Vision, 2004, 60(2), с. 91–110.</w:t>
      </w:r>
    </w:p>
    <w:p>
      <w:pPr>
        <w:pStyle w:val="references"/>
      </w:pPr>
      <w:r>
        <w:t>Canny J. A computational approach to edge detection. IEEE Transactions on Pattern Analysis and Machine Intelligence, 1986, 8(6), с. 679–698.</w:t>
      </w:r>
    </w:p>
    <w:p>
      <w:pPr>
        <w:pStyle w:val="references"/>
      </w:pPr>
      <w:r>
        <w:t>Ren S., He K., Girshick R., Sun J. Faster R-CNN: Towards real-time object detection with region proposal networks. In: Advances in Neural Information Processing Systems, 2015, с. 91–99.</w:t>
      </w:r>
    </w:p>
    <w:p>
      <w:pPr>
        <w:pStyle w:val="references"/>
      </w:pPr>
      <w:r>
        <w:t>Redmon J., Divvala S., Girshick R., Farhadi A. You only look once: Unified, real-time object detection. In: Proc. IEEE CVPR, Las Vegas, 2016, с. 779–788.</w:t>
      </w:r>
    </w:p>
    <w:p>
      <w:pPr>
        <w:pStyle w:val="references"/>
      </w:pPr>
      <w:r>
        <w:t>Liu W., Anguelov D., Erhan D., Szegedy C., Reed S., Fu C.-Y., Berg A. C. SSD: Single shot multibox detector. In: Computer Vision – ECCV 2016, Springer, LNCS 9905, 2016, с. 21–37.</w:t>
      </w:r>
    </w:p>
    <w:p>
      <w:pPr>
        <w:pStyle w:val="references"/>
      </w:pPr>
      <w:r>
        <w:t>Lin T.-Y., Dollár P., Girshick R., He K., Hariharan B., Belongie S. Feature pyramid networks for object detection. In: Proc. IEEE CVPR, Honolulu, 2017, с. 2117–2125.</w:t>
      </w:r>
    </w:p>
    <w:p>
      <w:pPr>
        <w:pStyle w:val="references"/>
      </w:pPr>
      <w:r>
        <w:t>Carion N., Massa F., Synnaeve G., Usunier N., Kirillov A., Zagoruyko S. End-to-end object detection with transformers. In: Computer Vision – ECCV 2020, Springer, LNCS 12346, 2020, с. 213–229.</w:t>
      </w:r>
    </w:p>
    <w:p>
      <w:pPr>
        <w:pStyle w:val="references"/>
      </w:pPr>
      <w:r>
        <w:t>Bochkovskiy A., Wang C.-Y., Liao H.-Y. M. YOLOv4: Optimal speed and accuracy of object detection. arXiv:2004.10934, 2020. https://arxiv.org/abs/2004.10934</w:t>
      </w:r>
    </w:p>
    <w:p>
      <w:pPr>
        <w:pStyle w:val="references"/>
      </w:pPr>
      <w:r>
        <w:t>Lin T.-Y., Maire M., Belongie S., Hays J., Perona P., Ramanan D., Dollár P., Zitnick C. L. Microsoft COCO: Common objects in context. In: Computer Vision – ECCV 2014, Springer, LNCS 8693, 2014, с. 740–755.</w:t>
      </w:r>
    </w:p>
    <w:p>
      <w:pPr>
        <w:pStyle w:val="references"/>
      </w:pPr>
      <w:r>
        <w:t>Everingham M., Van Gool L., Williams C. K. I., Winn J., Zisserman A. The PASCAL visual object classes (VOC) challenge. International Journal of Computer Vision, 2010, 88(2), с. 303–338.</w:t>
      </w:r>
    </w:p>
    <w:p>
      <w:pPr>
        <w:pStyle w:val="references"/>
      </w:pPr>
      <w:r>
        <w:t>Szeliski R. Computer vision: Algorithms and applications. 2nd ed. Cham: Springer, 2022.</w:t>
      </w:r>
    </w:p>
    <w:p>
      <w:pPr>
        <w:pStyle w:val="references"/>
      </w:pPr>
      <w:r>
        <w:t>Zhang Z. A flexible new technique for camera calibration. IEEE Transactions on Pattern Analysis and Machine Intelligence, 2000, 22(11), с. 1330–1334.</w:t>
      </w:r>
    </w:p>
    <w:p>
      <w:pPr>
        <w:pStyle w:val="references"/>
      </w:pPr>
      <w:r>
        <w:t>Duda R. O., Hart P. E. Use of the Hough transformation to detect lines and curves in pictures. Communications of the ACM, 1972, 15(1), с. 11–15.</w:t>
      </w:r>
    </w:p>
    <w:sectPr w:rsidR="00BA5480" w:rsidSect="0005220A">
      <w:footerReference w:type="default" r:id="rId15"/>
      <w:type w:val="continuous"/>
      <w:pgSz w:w="11909" w:h="16834" w:code="9"/>
      <w:pgMar w:top="1080" w:right="734" w:bottom="1702" w:left="7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2E8" w:rsidRDefault="00C072E8" w:rsidP="00FB643F">
      <w:r>
        <w:separator/>
      </w:r>
    </w:p>
  </w:endnote>
  <w:endnote w:type="continuationSeparator" w:id="0">
    <w:p w:rsidR="00C072E8" w:rsidRDefault="00C072E8" w:rsidP="00FB6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4203040"/>
      <w:docPartObj>
        <w:docPartGallery w:val="Page Numbers (Bottom of Page)"/>
        <w:docPartUnique/>
      </w:docPartObj>
    </w:sdtPr>
    <w:sdtEndPr/>
    <w:sdtContent>
      <w:p w:rsidR="00FB643F" w:rsidRPr="00C54715" w:rsidRDefault="008010F9" w:rsidP="00FB643F">
        <w:pPr>
          <w:pStyle w:val="Footer"/>
          <w:pBdr>
            <w:top w:val="single" w:sz="4" w:space="1" w:color="auto"/>
          </w:pBdr>
          <w:tabs>
            <w:tab w:val="clear" w:pos="4703"/>
            <w:tab w:val="clear" w:pos="9406"/>
            <w:tab w:val="center" w:pos="5245"/>
            <w:tab w:val="right" w:pos="10348"/>
          </w:tabs>
          <w:jc w:val="both"/>
          <w:rPr>
            <w:i/>
          </w:rPr>
        </w:pPr>
        <w:r>
          <w:rPr>
            <w:i/>
            <w:lang w:val="bg-BG"/>
          </w:rPr>
          <w:t>ТУ – София, ФКСТ</w:t>
        </w:r>
        <w:r w:rsidR="00FB643F" w:rsidRPr="00FB643F">
          <w:rPr>
            <w:i/>
            <w:lang w:val="bg-BG"/>
          </w:rPr>
          <w:tab/>
        </w:r>
        <w:r w:rsidR="00C337BA">
          <w:rPr>
            <w:i/>
            <w:lang w:val="bg-BG"/>
          </w:rPr>
          <w:t>Курсова работа по „</w:t>
        </w:r>
        <w:r w:rsidR="00A50DD3">
          <w:rPr>
            <w:i/>
            <w:lang w:val="bg-BG"/>
          </w:rPr>
          <w:t>К</w:t>
        </w:r>
        <w:r w:rsidR="00CF12A6">
          <w:rPr>
            <w:i/>
            <w:lang w:val="bg-BG"/>
          </w:rPr>
          <w:t>омпю</w:t>
        </w:r>
        <w:r w:rsidR="00A50DD3">
          <w:rPr>
            <w:i/>
            <w:lang w:val="bg-BG"/>
          </w:rPr>
          <w:t>търно зрение</w:t>
        </w:r>
        <w:r w:rsidR="00C337BA">
          <w:rPr>
            <w:i/>
            <w:lang w:val="bg-BG"/>
          </w:rPr>
          <w:t>“</w:t>
        </w:r>
        <w:r w:rsidR="00FB643F" w:rsidRPr="00FB643F">
          <w:rPr>
            <w:i/>
            <w:lang w:val="bg-BG"/>
          </w:rPr>
          <w:t xml:space="preserve"> – учебна 20</w:t>
        </w:r>
        <w:r w:rsidR="00E95DF4">
          <w:rPr>
            <w:i/>
          </w:rPr>
          <w:t>2</w:t>
        </w:r>
        <w:r w:rsidR="009F7FF2">
          <w:rPr>
            <w:i/>
            <w:lang w:val="bg-BG"/>
          </w:rPr>
          <w:t>6</w:t>
        </w:r>
        <w:r w:rsidR="00FB643F" w:rsidRPr="00FB643F">
          <w:rPr>
            <w:i/>
            <w:lang w:val="bg-BG"/>
          </w:rPr>
          <w:t>/</w:t>
        </w:r>
        <w:r w:rsidR="00A50DD3">
          <w:rPr>
            <w:i/>
            <w:lang w:val="bg-BG"/>
          </w:rPr>
          <w:t>2</w:t>
        </w:r>
        <w:r w:rsidR="009F7FF2">
          <w:rPr>
            <w:i/>
            <w:lang w:val="bg-BG"/>
          </w:rPr>
          <w:t>7</w:t>
        </w:r>
        <w:r w:rsidR="00FB643F" w:rsidRPr="00FB643F">
          <w:rPr>
            <w:i/>
            <w:lang w:val="bg-BG"/>
          </w:rPr>
          <w:t xml:space="preserve"> година </w:t>
        </w:r>
        <w:r w:rsidR="00FB643F" w:rsidRPr="00FB643F">
          <w:rPr>
            <w:i/>
            <w:lang w:val="bg-BG"/>
          </w:rPr>
          <w:tab/>
          <w:t>стр.</w:t>
        </w:r>
        <w:r w:rsidR="00FB643F">
          <w:rPr>
            <w:lang w:val="bg-BG"/>
          </w:rPr>
          <w:t xml:space="preserve"> </w:t>
        </w:r>
        <w:r w:rsidR="00FB643F" w:rsidRPr="00FB643F">
          <w:fldChar w:fldCharType="begin"/>
        </w:r>
        <w:r w:rsidR="00FB643F" w:rsidRPr="00FB643F">
          <w:instrText xml:space="preserve"> PAGE   \* MERGEFORMAT </w:instrText>
        </w:r>
        <w:r w:rsidR="00FB643F" w:rsidRPr="00FB643F">
          <w:fldChar w:fldCharType="separate"/>
        </w:r>
        <w:r w:rsidR="009F7FF2">
          <w:rPr>
            <w:noProof/>
          </w:rPr>
          <w:t>1</w:t>
        </w:r>
        <w:r w:rsidR="00FB643F" w:rsidRPr="00FB643F">
          <w:fldChar w:fldCharType="end"/>
        </w:r>
      </w:p>
      <w:p w:rsidR="00FB643F" w:rsidRDefault="00FB643F" w:rsidP="00FB643F">
        <w:pPr>
          <w:pStyle w:val="Footer"/>
          <w:pBdr>
            <w:top w:val="single" w:sz="4" w:space="1" w:color="auto"/>
          </w:pBdr>
          <w:tabs>
            <w:tab w:val="clear" w:pos="4703"/>
            <w:tab w:val="clear" w:pos="9406"/>
            <w:tab w:val="center" w:pos="5245"/>
            <w:tab w:val="right" w:pos="10348"/>
          </w:tabs>
          <w:jc w:val="both"/>
          <w:rPr>
            <w:lang w:val="bg-BG"/>
          </w:rPr>
        </w:pPr>
      </w:p>
      <w:p w:rsidR="00FB643F" w:rsidRPr="00FB643F" w:rsidRDefault="00C072E8" w:rsidP="00FB643F">
        <w:pPr>
          <w:pStyle w:val="Footer"/>
          <w:pBdr>
            <w:top w:val="single" w:sz="4" w:space="1" w:color="auto"/>
          </w:pBdr>
          <w:tabs>
            <w:tab w:val="clear" w:pos="4703"/>
            <w:tab w:val="clear" w:pos="9406"/>
            <w:tab w:val="center" w:pos="5245"/>
            <w:tab w:val="right" w:pos="10348"/>
          </w:tabs>
          <w:jc w:val="both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2E8" w:rsidRDefault="00C072E8" w:rsidP="00FB643F">
      <w:r>
        <w:separator/>
      </w:r>
    </w:p>
  </w:footnote>
  <w:footnote w:type="continuationSeparator" w:id="0">
    <w:p w:rsidR="00C072E8" w:rsidRDefault="00C072E8" w:rsidP="00FB6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7660336"/>
    <w:multiLevelType w:val="hybridMultilevel"/>
    <w:tmpl w:val="78D27160"/>
    <w:lvl w:ilvl="0" w:tplc="FEF4713C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4" w15:restartNumberingAfterBreak="0">
    <w:nsid w:val="4189603E"/>
    <w:multiLevelType w:val="multilevel"/>
    <w:tmpl w:val="F2B24958"/>
    <w:lvl w:ilvl="0">
      <w:start w:val="1"/>
      <w:numFmt w:val="upperRoman"/>
      <w:pStyle w:val="Heading1"/>
      <w:lvlText w:val="%1."/>
      <w:lvlJc w:val="left"/>
      <w:pPr>
        <w:tabs>
          <w:tab w:val="num" w:pos="576"/>
        </w:tabs>
        <w:ind w:firstLine="216"/>
      </w:pPr>
      <w:rPr>
        <w:rFonts w:hint="default"/>
        <w:caps w:val="0"/>
        <w:strike w:val="0"/>
        <w:dstrike w:val="0"/>
        <w:vanish w:val="0"/>
        <w:color w:val="auto"/>
        <w:sz w:val="28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5" w15:restartNumberingAfterBreak="0">
    <w:nsid w:val="52CA544A"/>
    <w:multiLevelType w:val="singleLevel"/>
    <w:tmpl w:val="B5AE744C"/>
    <w:lvl w:ilvl="0">
      <w:start w:val="1"/>
      <w:numFmt w:val="decimal"/>
      <w:pStyle w:val="references"/>
      <w:lvlText w:val="[%1]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2"/>
        <w:szCs w:val="16"/>
      </w:rPr>
    </w:lvl>
  </w:abstractNum>
  <w:abstractNum w:abstractNumId="6" w15:restartNumberingAfterBreak="0">
    <w:nsid w:val="5884782E"/>
    <w:multiLevelType w:val="hybridMultilevel"/>
    <w:tmpl w:val="8EA85D8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 w15:restartNumberingAfterBreak="0">
    <w:nsid w:val="6C402C58"/>
    <w:multiLevelType w:val="hybridMultilevel"/>
    <w:tmpl w:val="AC327F22"/>
    <w:lvl w:ilvl="0" w:tplc="DA2C82D6">
      <w:start w:val="1"/>
      <w:numFmt w:val="decimal"/>
      <w:pStyle w:val="figurecaption"/>
      <w:lvlText w:val="Фиг. %1."/>
      <w:lvlJc w:val="center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2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6CD32DA8"/>
    <w:multiLevelType w:val="singleLevel"/>
    <w:tmpl w:val="69B6E2A4"/>
    <w:lvl w:ilvl="0">
      <w:start w:val="1"/>
      <w:numFmt w:val="decimal"/>
      <w:pStyle w:val="tablehead"/>
      <w:lvlText w:val="Таблица %1. "/>
      <w:lvlJc w:val="center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2"/>
        <w:szCs w:val="16"/>
      </w:rPr>
    </w:lvl>
  </w:abstractNum>
  <w:abstractNum w:abstractNumId="9" w15:restartNumberingAfterBreak="0">
    <w:nsid w:val="7CD255F0"/>
    <w:multiLevelType w:val="hybridMultilevel"/>
    <w:tmpl w:val="1BBC66D6"/>
    <w:lvl w:ilvl="0" w:tplc="BB425798">
      <w:start w:val="1"/>
      <w:numFmt w:val="lowerLetter"/>
      <w:pStyle w:val="tablefootnote"/>
      <w:lvlText w:val="%1."/>
      <w:lvlJc w:val="right"/>
      <w:pPr>
        <w:ind w:left="74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5"/>
  </w:num>
  <w:num w:numId="9">
    <w:abstractNumId w:val="8"/>
  </w:num>
  <w:num w:numId="10">
    <w:abstractNumId w:val="3"/>
  </w:num>
  <w:num w:numId="11">
    <w:abstractNumId w:val="0"/>
  </w:num>
  <w:num w:numId="12">
    <w:abstractNumId w:val="9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9A6"/>
    <w:rsid w:val="0004390D"/>
    <w:rsid w:val="0005220A"/>
    <w:rsid w:val="000B4641"/>
    <w:rsid w:val="0010711E"/>
    <w:rsid w:val="001144F6"/>
    <w:rsid w:val="00122211"/>
    <w:rsid w:val="00127EDD"/>
    <w:rsid w:val="001A19E1"/>
    <w:rsid w:val="00276735"/>
    <w:rsid w:val="002864A3"/>
    <w:rsid w:val="002B3B81"/>
    <w:rsid w:val="00385967"/>
    <w:rsid w:val="003925D8"/>
    <w:rsid w:val="003A47B5"/>
    <w:rsid w:val="003A59A6"/>
    <w:rsid w:val="003E38DA"/>
    <w:rsid w:val="004059FE"/>
    <w:rsid w:val="004445B3"/>
    <w:rsid w:val="00564872"/>
    <w:rsid w:val="00590957"/>
    <w:rsid w:val="005B520E"/>
    <w:rsid w:val="005B535B"/>
    <w:rsid w:val="005B5D06"/>
    <w:rsid w:val="005F602A"/>
    <w:rsid w:val="00605E73"/>
    <w:rsid w:val="006108A4"/>
    <w:rsid w:val="006309D3"/>
    <w:rsid w:val="00665B6B"/>
    <w:rsid w:val="006A3B1E"/>
    <w:rsid w:val="006C4648"/>
    <w:rsid w:val="006D2E5D"/>
    <w:rsid w:val="00706663"/>
    <w:rsid w:val="0072064C"/>
    <w:rsid w:val="007413C1"/>
    <w:rsid w:val="007442B3"/>
    <w:rsid w:val="00753F7B"/>
    <w:rsid w:val="00764690"/>
    <w:rsid w:val="0078398E"/>
    <w:rsid w:val="00787C5A"/>
    <w:rsid w:val="007919DE"/>
    <w:rsid w:val="007A4BBE"/>
    <w:rsid w:val="007B3E44"/>
    <w:rsid w:val="007C0308"/>
    <w:rsid w:val="007D51D0"/>
    <w:rsid w:val="007F50AC"/>
    <w:rsid w:val="008010F9"/>
    <w:rsid w:val="008014D2"/>
    <w:rsid w:val="008054BC"/>
    <w:rsid w:val="0081360C"/>
    <w:rsid w:val="00843310"/>
    <w:rsid w:val="008773B7"/>
    <w:rsid w:val="008A55B5"/>
    <w:rsid w:val="008A75C8"/>
    <w:rsid w:val="008D11CE"/>
    <w:rsid w:val="008D2DBE"/>
    <w:rsid w:val="008F6815"/>
    <w:rsid w:val="00905ABC"/>
    <w:rsid w:val="00914DFA"/>
    <w:rsid w:val="0093712A"/>
    <w:rsid w:val="0097508D"/>
    <w:rsid w:val="00991666"/>
    <w:rsid w:val="009919C7"/>
    <w:rsid w:val="009F7FF2"/>
    <w:rsid w:val="00A31E42"/>
    <w:rsid w:val="00A50DD3"/>
    <w:rsid w:val="00A510F7"/>
    <w:rsid w:val="00A56100"/>
    <w:rsid w:val="00A767CE"/>
    <w:rsid w:val="00AC6519"/>
    <w:rsid w:val="00B0418B"/>
    <w:rsid w:val="00B23192"/>
    <w:rsid w:val="00BA5480"/>
    <w:rsid w:val="00BC6A6D"/>
    <w:rsid w:val="00C072E8"/>
    <w:rsid w:val="00C26868"/>
    <w:rsid w:val="00C337BA"/>
    <w:rsid w:val="00C54715"/>
    <w:rsid w:val="00C94F4A"/>
    <w:rsid w:val="00CB1404"/>
    <w:rsid w:val="00CB66E6"/>
    <w:rsid w:val="00CF12A6"/>
    <w:rsid w:val="00D9156D"/>
    <w:rsid w:val="00DE3BE8"/>
    <w:rsid w:val="00DF7561"/>
    <w:rsid w:val="00E83675"/>
    <w:rsid w:val="00E91219"/>
    <w:rsid w:val="00E95DF4"/>
    <w:rsid w:val="00EA506F"/>
    <w:rsid w:val="00EC08F8"/>
    <w:rsid w:val="00EE4362"/>
    <w:rsid w:val="00EF18D7"/>
    <w:rsid w:val="00EF1E8A"/>
    <w:rsid w:val="00EF3A1A"/>
    <w:rsid w:val="00F1319F"/>
    <w:rsid w:val="00FB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83FDB"/>
  <w15:docId w15:val="{110F3327-9A02-46FA-AB1E-72CF0551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B535B"/>
    <w:pPr>
      <w:jc w:val="center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65B6B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noProof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26868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rFonts w:eastAsia="MS Mincho"/>
      <w:i/>
      <w:iCs/>
      <w:noProof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3712A"/>
    <w:pPr>
      <w:numPr>
        <w:ilvl w:val="2"/>
        <w:numId w:val="6"/>
      </w:numPr>
      <w:spacing w:line="260" w:lineRule="exact"/>
      <w:ind w:firstLine="289"/>
      <w:jc w:val="both"/>
      <w:outlineLvl w:val="2"/>
    </w:pPr>
    <w:rPr>
      <w:rFonts w:eastAsia="MS Mincho"/>
      <w:i/>
      <w:iCs/>
      <w:noProof/>
      <w:sz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26868"/>
    <w:pPr>
      <w:numPr>
        <w:ilvl w:val="3"/>
        <w:numId w:val="7"/>
      </w:numPr>
      <w:tabs>
        <w:tab w:val="left" w:pos="821"/>
      </w:tabs>
      <w:spacing w:before="40" w:after="40"/>
      <w:ind w:firstLine="504"/>
      <w:jc w:val="both"/>
      <w:outlineLvl w:val="3"/>
    </w:pPr>
    <w:rPr>
      <w:rFonts w:eastAsia="MS Mincho"/>
      <w:i/>
      <w:iCs/>
      <w:noProof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26868"/>
    <w:pPr>
      <w:tabs>
        <w:tab w:val="left" w:pos="360"/>
      </w:tabs>
      <w:spacing w:before="160" w:after="80"/>
      <w:outlineLvl w:val="4"/>
    </w:pPr>
    <w:rPr>
      <w:smallCaps/>
      <w:noProof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65B6B"/>
    <w:rPr>
      <w:rFonts w:ascii="Times New Roman" w:eastAsia="MS Mincho" w:hAnsi="Times New Roman"/>
      <w:smallCaps/>
      <w:noProof/>
      <w:sz w:val="28"/>
    </w:rPr>
  </w:style>
  <w:style w:type="character" w:customStyle="1" w:styleId="Heading2Char">
    <w:name w:val="Heading 2 Char"/>
    <w:link w:val="Heading2"/>
    <w:uiPriority w:val="99"/>
    <w:locked/>
    <w:rsid w:val="00C26868"/>
    <w:rPr>
      <w:rFonts w:ascii="Times New Roman" w:eastAsia="MS Mincho" w:hAnsi="Times New Roman"/>
      <w:i/>
      <w:iCs/>
      <w:noProof/>
      <w:sz w:val="24"/>
    </w:rPr>
  </w:style>
  <w:style w:type="character" w:customStyle="1" w:styleId="Heading3Char">
    <w:name w:val="Heading 3 Char"/>
    <w:link w:val="Heading3"/>
    <w:uiPriority w:val="99"/>
    <w:locked/>
    <w:rsid w:val="0093712A"/>
    <w:rPr>
      <w:rFonts w:ascii="Times New Roman" w:eastAsia="MS Mincho" w:hAnsi="Times New Roman"/>
      <w:i/>
      <w:iCs/>
      <w:noProof/>
      <w:sz w:val="24"/>
    </w:rPr>
  </w:style>
  <w:style w:type="character" w:customStyle="1" w:styleId="Heading4Char">
    <w:name w:val="Heading 4 Char"/>
    <w:link w:val="Heading4"/>
    <w:uiPriority w:val="99"/>
    <w:locked/>
    <w:rsid w:val="00C26868"/>
    <w:rPr>
      <w:rFonts w:ascii="Times New Roman" w:eastAsia="MS Mincho" w:hAnsi="Times New Roman"/>
      <w:i/>
      <w:iCs/>
      <w:noProof/>
      <w:sz w:val="24"/>
    </w:rPr>
  </w:style>
  <w:style w:type="character" w:customStyle="1" w:styleId="Heading5Char">
    <w:name w:val="Heading 5 Char"/>
    <w:link w:val="Heading5"/>
    <w:uiPriority w:val="99"/>
    <w:locked/>
    <w:rsid w:val="00C26868"/>
    <w:rPr>
      <w:rFonts w:ascii="Times New Roman" w:hAnsi="Times New Roman"/>
      <w:smallCaps/>
      <w:noProof/>
      <w:sz w:val="28"/>
    </w:rPr>
  </w:style>
  <w:style w:type="paragraph" w:customStyle="1" w:styleId="Abstract">
    <w:name w:val="Abstract"/>
    <w:uiPriority w:val="99"/>
    <w:qFormat/>
    <w:rsid w:val="00564872"/>
    <w:pPr>
      <w:spacing w:after="200"/>
      <w:ind w:firstLine="274"/>
      <w:jc w:val="both"/>
    </w:pPr>
    <w:rPr>
      <w:rFonts w:ascii="Times New Roman" w:hAnsi="Times New Roman"/>
      <w:b/>
      <w:bCs/>
      <w:sz w:val="22"/>
      <w:szCs w:val="18"/>
    </w:rPr>
  </w:style>
  <w:style w:type="paragraph" w:customStyle="1" w:styleId="Affiliation">
    <w:name w:val="Affiliation"/>
    <w:uiPriority w:val="99"/>
    <w:qFormat/>
    <w:rsid w:val="008F6815"/>
    <w:pPr>
      <w:jc w:val="center"/>
    </w:pPr>
    <w:rPr>
      <w:rFonts w:ascii="Times New Roman" w:eastAsia="MS Mincho" w:hAnsi="Times New Roman"/>
      <w:sz w:val="22"/>
      <w:lang w:val="bg-BG"/>
    </w:rPr>
  </w:style>
  <w:style w:type="paragraph" w:customStyle="1" w:styleId="Author">
    <w:name w:val="Author"/>
    <w:uiPriority w:val="99"/>
    <w:qFormat/>
    <w:rsid w:val="008F6815"/>
    <w:pPr>
      <w:spacing w:before="360" w:after="40"/>
      <w:jc w:val="center"/>
    </w:pPr>
    <w:rPr>
      <w:rFonts w:ascii="Times New Roman" w:hAnsi="Times New Roman"/>
      <w:noProof/>
      <w:sz w:val="24"/>
      <w:szCs w:val="22"/>
      <w:lang w:val="bg-BG"/>
    </w:rPr>
  </w:style>
  <w:style w:type="paragraph" w:styleId="BodyText">
    <w:name w:val="Body Text"/>
    <w:basedOn w:val="Normal"/>
    <w:link w:val="BodyTextChar"/>
    <w:uiPriority w:val="99"/>
    <w:qFormat/>
    <w:rsid w:val="00665B6B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  <w:spacing w:val="-1"/>
      <w:sz w:val="24"/>
    </w:rPr>
  </w:style>
  <w:style w:type="character" w:customStyle="1" w:styleId="BodyTextChar">
    <w:name w:val="Body Text Char"/>
    <w:link w:val="BodyText"/>
    <w:uiPriority w:val="99"/>
    <w:locked/>
    <w:rsid w:val="00665B6B"/>
    <w:rPr>
      <w:rFonts w:ascii="Times New Roman" w:eastAsia="MS Mincho" w:hAnsi="Times New Roman"/>
      <w:spacing w:val="-1"/>
      <w:sz w:val="24"/>
    </w:rPr>
  </w:style>
  <w:style w:type="paragraph" w:customStyle="1" w:styleId="bulletlist">
    <w:name w:val="bullet list"/>
    <w:basedOn w:val="BodyText"/>
    <w:rsid w:val="008054BC"/>
    <w:pPr>
      <w:numPr>
        <w:numId w:val="1"/>
      </w:numPr>
    </w:pPr>
  </w:style>
  <w:style w:type="paragraph" w:customStyle="1" w:styleId="equation">
    <w:name w:val="equation"/>
    <w:basedOn w:val="Normal"/>
    <w:uiPriority w:val="99"/>
    <w:qFormat/>
    <w:rsid w:val="008D2DBE"/>
    <w:pPr>
      <w:tabs>
        <w:tab w:val="center" w:pos="4820"/>
        <w:tab w:val="right" w:pos="9781"/>
      </w:tabs>
      <w:spacing w:before="240" w:after="240" w:line="216" w:lineRule="auto"/>
    </w:pPr>
    <w:rPr>
      <w:rFonts w:ascii="Symbol" w:eastAsia="MS Mincho" w:hAnsi="Symbol" w:cs="Symbol"/>
      <w:sz w:val="24"/>
    </w:rPr>
  </w:style>
  <w:style w:type="paragraph" w:customStyle="1" w:styleId="figurecaption">
    <w:name w:val="figure caption"/>
    <w:qFormat/>
    <w:rsid w:val="00C26868"/>
    <w:pPr>
      <w:numPr>
        <w:numId w:val="2"/>
      </w:numPr>
      <w:tabs>
        <w:tab w:val="left" w:pos="533"/>
      </w:tabs>
      <w:spacing w:before="80" w:after="200"/>
      <w:jc w:val="center"/>
    </w:pPr>
    <w:rPr>
      <w:rFonts w:ascii="Times New Roman" w:hAnsi="Times New Roman"/>
      <w:noProof/>
      <w:sz w:val="22"/>
      <w:szCs w:val="16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hAnsi="Times New Roman"/>
      <w:sz w:val="16"/>
      <w:szCs w:val="16"/>
    </w:rPr>
  </w:style>
  <w:style w:type="paragraph" w:customStyle="1" w:styleId="keywords">
    <w:name w:val="key words"/>
    <w:uiPriority w:val="99"/>
    <w:qFormat/>
    <w:rsid w:val="00564872"/>
    <w:pPr>
      <w:spacing w:after="120"/>
      <w:ind w:firstLine="274"/>
      <w:jc w:val="both"/>
    </w:pPr>
    <w:rPr>
      <w:rFonts w:ascii="Times New Roman" w:hAnsi="Times New Roman"/>
      <w:b/>
      <w:bCs/>
      <w:i/>
      <w:iCs/>
      <w:noProof/>
      <w:sz w:val="22"/>
      <w:szCs w:val="18"/>
    </w:rPr>
  </w:style>
  <w:style w:type="paragraph" w:customStyle="1" w:styleId="papersubtitle">
    <w:name w:val="paper subtitle"/>
    <w:uiPriority w:val="99"/>
    <w:rsid w:val="0097508D"/>
    <w:pPr>
      <w:spacing w:after="120"/>
      <w:jc w:val="center"/>
    </w:pPr>
    <w:rPr>
      <w:rFonts w:ascii="Times New Roman" w:hAnsi="Times New Roman"/>
      <w:bCs/>
      <w:noProof/>
      <w:sz w:val="28"/>
      <w:szCs w:val="28"/>
    </w:rPr>
  </w:style>
  <w:style w:type="paragraph" w:customStyle="1" w:styleId="papertitle">
    <w:name w:val="paper title"/>
    <w:uiPriority w:val="99"/>
    <w:rsid w:val="0097508D"/>
    <w:pPr>
      <w:spacing w:after="120"/>
      <w:jc w:val="center"/>
    </w:pPr>
    <w:rPr>
      <w:rFonts w:ascii="Times New Roman" w:hAnsi="Times New Roman"/>
      <w:bCs/>
      <w:noProof/>
      <w:sz w:val="48"/>
      <w:szCs w:val="48"/>
    </w:rPr>
  </w:style>
  <w:style w:type="paragraph" w:customStyle="1" w:styleId="references">
    <w:name w:val="references"/>
    <w:uiPriority w:val="99"/>
    <w:qFormat/>
    <w:rsid w:val="005B5D06"/>
    <w:pPr>
      <w:numPr>
        <w:numId w:val="8"/>
      </w:numPr>
      <w:spacing w:after="50" w:line="240" w:lineRule="exact"/>
      <w:ind w:left="426" w:hanging="426"/>
      <w:jc w:val="both"/>
    </w:pPr>
    <w:rPr>
      <w:rFonts w:ascii="Times New Roman" w:eastAsia="MS Mincho" w:hAnsi="Times New Roman"/>
      <w:noProof/>
      <w:sz w:val="22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rFonts w:ascii="Times New Roman" w:hAnsi="Times New Roman"/>
      <w:sz w:val="16"/>
      <w:szCs w:val="16"/>
    </w:rPr>
  </w:style>
  <w:style w:type="paragraph" w:customStyle="1" w:styleId="tablecolhead">
    <w:name w:val="table col head"/>
    <w:basedOn w:val="Normal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rFonts w:ascii="Times New Roman" w:hAnsi="Times New Roman"/>
      <w:noProof/>
      <w:sz w:val="16"/>
      <w:szCs w:val="16"/>
    </w:rPr>
  </w:style>
  <w:style w:type="paragraph" w:customStyle="1" w:styleId="tablefootnote">
    <w:name w:val="table footnote"/>
    <w:uiPriority w:val="99"/>
    <w:rsid w:val="009919C7"/>
    <w:pPr>
      <w:numPr>
        <w:numId w:val="12"/>
      </w:num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8"/>
      <w:szCs w:val="12"/>
    </w:rPr>
  </w:style>
  <w:style w:type="paragraph" w:customStyle="1" w:styleId="tablehead">
    <w:name w:val="table head"/>
    <w:uiPriority w:val="99"/>
    <w:qFormat/>
    <w:rsid w:val="008D2DBE"/>
    <w:pPr>
      <w:numPr>
        <w:numId w:val="9"/>
      </w:numPr>
      <w:spacing w:before="240" w:after="120" w:line="216" w:lineRule="auto"/>
      <w:jc w:val="center"/>
    </w:pPr>
    <w:rPr>
      <w:rFonts w:ascii="Times New Roman" w:hAnsi="Times New Roman"/>
      <w:noProof/>
      <w:sz w:val="22"/>
      <w:szCs w:val="16"/>
    </w:rPr>
  </w:style>
  <w:style w:type="paragraph" w:styleId="Title">
    <w:name w:val="Title"/>
    <w:basedOn w:val="papertitle"/>
    <w:next w:val="Normal"/>
    <w:link w:val="TitleChar"/>
    <w:uiPriority w:val="10"/>
    <w:qFormat/>
    <w:rsid w:val="008773B7"/>
    <w:rPr>
      <w:rFonts w:eastAsia="MS Mincho"/>
    </w:rPr>
  </w:style>
  <w:style w:type="character" w:customStyle="1" w:styleId="TitleChar">
    <w:name w:val="Title Char"/>
    <w:basedOn w:val="DefaultParagraphFont"/>
    <w:link w:val="Title"/>
    <w:uiPriority w:val="10"/>
    <w:rsid w:val="008773B7"/>
    <w:rPr>
      <w:rFonts w:ascii="Times New Roman" w:eastAsia="MS Mincho" w:hAnsi="Times New Roman"/>
      <w:bCs/>
      <w:noProof/>
      <w:sz w:val="48"/>
      <w:szCs w:val="48"/>
    </w:rPr>
  </w:style>
  <w:style w:type="paragraph" w:styleId="Subtitle">
    <w:name w:val="Subtitle"/>
    <w:basedOn w:val="papersubtitle"/>
    <w:next w:val="Normal"/>
    <w:link w:val="SubtitleChar"/>
    <w:uiPriority w:val="11"/>
    <w:qFormat/>
    <w:rsid w:val="008773B7"/>
    <w:rPr>
      <w:rFonts w:eastAsia="MS Mincho"/>
    </w:rPr>
  </w:style>
  <w:style w:type="character" w:customStyle="1" w:styleId="SubtitleChar">
    <w:name w:val="Subtitle Char"/>
    <w:basedOn w:val="DefaultParagraphFont"/>
    <w:link w:val="Subtitle"/>
    <w:uiPriority w:val="11"/>
    <w:rsid w:val="008773B7"/>
    <w:rPr>
      <w:rFonts w:ascii="Times New Roman" w:eastAsia="MS Mincho" w:hAnsi="Times New Roman"/>
      <w:bCs/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05AB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643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43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B643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43F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4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43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50D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cholar.google.bg/" TargetMode="External"/><Relationship Id="rId13" Type="http://schemas.openxmlformats.org/officeDocument/2006/relationships/hyperlink" Target="http://www.bds-bg.org/bg/bg/standard/?natstandard_document_id=5721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facultystaff.richmond.edu/~ggilfoyl/intermediate/writing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sciencebuddies.org/science-fair-projects/top_science-fair_finding_scientific_papers.s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books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eeexplore.ieee.org/Xplore/guesthome.jsp" TargetMode="External"/><Relationship Id="rId14" Type="http://schemas.openxmlformats.org/officeDocument/2006/relationships/hyperlink" Target="http://uacg.bg/UserFiles/File/library/lib-citiran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на изображения за разпознаване на обекти при движение по път (Road Analysis)</dc:title>
  <dc:creator>Кирил Вълков</dc:creator>
  <cp:lastModifiedBy>Milena Lazarova</cp:lastModifiedBy>
  <cp:revision>30</cp:revision>
  <dcterms:created xsi:type="dcterms:W3CDTF">2015-10-24T15:36:00Z</dcterms:created>
  <dcterms:modified xsi:type="dcterms:W3CDTF">2026-10-04T21:34:00Z</dcterms:modified>
</cp:coreProperties>
</file>