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实时会议转写</w:t>
      </w:r>
    </w:p>
    <w:p>
      <w:pPr>
        <w:jc w:val="center"/>
      </w:pPr>
      <w:r>
        <w:rPr>
          <w:b/>
        </w:rPr>
        <w:t>Qwen 1.7B 单模型 + 同模语言确认 + 段落式输出</w:t>
      </w:r>
    </w:p>
    <w:p>
      <w:pPr>
        <w:pStyle w:val="Heading1"/>
      </w:pPr>
      <w:r>
        <w:t>1. 产品定义</w:t>
      </w:r>
    </w:p>
    <w:p>
      <w:r>
        <w:rPr>
          <w:b w:val="0"/>
        </w:rPr>
        <w:t>系统在录音期间持续输出可读的会议段落：唯一常驻的 Qwen3-ASR-1.7B 同时负责最终 ASR、分段级语言确认和语言冲突重识别；英文和德文通过本地 OPUS-MT 翻译为简体中文，中文及中文方言直接规范为简体中文。</w:t>
      </w:r>
    </w:p>
    <w:p>
      <w:pPr>
        <w:pStyle w:val="ListBullet"/>
      </w:pPr>
      <w:r>
        <w:t>一个连续的语言/方言语音段对应一个段落卡片，partial 只修订当前卡片。</w:t>
      </w:r>
    </w:p>
    <w:p>
      <w:pPr>
        <w:pStyle w:val="ListBullet"/>
      </w:pPr>
      <w:r>
        <w:t>静音达到阈值或语言稳定切换时结束段落；时间戳音频帧用于按确认时刻重切片，技术性音频切分不会制造额外显示段落。</w:t>
      </w:r>
    </w:p>
    <w:p>
      <w:pPr>
        <w:pStyle w:val="ListBullet"/>
      </w:pPr>
      <w:r>
        <w:t>系统不保存人员身份、手动语言锁定或会后第二套 ASR 结果；本地会后复译默认关闭。</w:t>
      </w:r>
    </w:p>
    <w:p>
      <w:pPr>
        <w:pStyle w:val="ListBullet"/>
      </w:pPr>
      <w:r>
        <w:t>旧会议数据不迁移；新存储契约使用 transcript schema 2.0。</w:t>
      </w:r>
    </w:p>
    <w:p>
      <w:pPr>
        <w:pStyle w:val="Heading1"/>
      </w:pPr>
      <w:r>
        <w:t>2. 模型与适配层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用途</w:t>
            </w:r>
          </w:p>
        </w:tc>
        <w:tc>
          <w:tcPr>
            <w:tcW w:type="dxa" w:w="3360"/>
          </w:tcPr>
          <w:p>
            <w:r>
              <w:t>模型</w:t>
            </w:r>
          </w:p>
        </w:tc>
        <w:tc>
          <w:tcPr>
            <w:tcW w:type="dxa" w:w="3360"/>
          </w:tcPr>
          <w:p>
            <w:r>
              <w:t>传参策略</w:t>
            </w:r>
          </w:p>
        </w:tc>
      </w:tr>
      <w:tr>
        <w:tc>
          <w:tcPr>
            <w:tcW w:type="dxa" w:w="3360"/>
          </w:tcPr>
          <w:p>
            <w:r>
              <w:t>实时 ASR、语言确认与冲突重识别</w:t>
            </w:r>
          </w:p>
        </w:tc>
        <w:tc>
          <w:tcPr>
            <w:tcW w:type="dxa" w:w="3360"/>
          </w:tcPr>
          <w:p>
            <w:r>
              <w:t>Qwen/Qwen3-ASR-1.7B</w:t>
            </w:r>
          </w:p>
        </w:tc>
        <w:tc>
          <w:tcPr>
            <w:tcW w:type="dxa" w:w="3360"/>
          </w:tcPr>
          <w:p>
            <w:r>
              <w:t>同一 checkpoint 负责最终识别、约 1 秒后的分段语言探测和冲突重识别；en=English、de=German，中文及方言使用对应上下文提示。</w:t>
            </w:r>
          </w:p>
        </w:tc>
      </w:tr>
      <w:tr>
        <w:tc>
          <w:tcPr>
            <w:tcW w:type="dxa" w:w="3360"/>
          </w:tcPr>
          <w:p>
            <w:r>
              <w:t>兼容回退配置</w:t>
            </w:r>
          </w:p>
        </w:tc>
        <w:tc>
          <w:tcPr>
            <w:tcW w:type="dxa" w:w="3360"/>
          </w:tcPr>
          <w:p>
            <w:r>
              <w:t>仍归一到 Qwen/Qwen3-ASR-1.7B</w:t>
            </w:r>
          </w:p>
        </w:tc>
        <w:tc>
          <w:tcPr>
            <w:tcW w:type="dxa" w:w="3360"/>
          </w:tcPr>
          <w:p>
            <w:r>
              <w:t>旧 fallback/LID 配置字段保留以兼容 API，但单模型模式不加载 0.6B，也不切换第二个 ASR。</w:t>
            </w:r>
          </w:p>
        </w:tc>
      </w:tr>
      <w:tr>
        <w:tc>
          <w:tcPr>
            <w:tcW w:type="dxa" w:w="3360"/>
          </w:tcPr>
          <w:p>
            <w:r>
              <w:t>英文/德文翻译</w:t>
            </w:r>
          </w:p>
        </w:tc>
        <w:tc>
          <w:tcPr>
            <w:tcW w:type="dxa" w:w="3360"/>
          </w:tcPr>
          <w:p>
            <w:r>
              <w:t>OPUS-MT en→zh / de→zh</w:t>
            </w:r>
          </w:p>
        </w:tc>
        <w:tc>
          <w:tcPr>
            <w:tcW w:type="dxa" w:w="3360"/>
          </w:tcPr>
          <w:p>
            <w:r>
              <w:t>稳定前缀异步翻译；按 segment_id 合并任务，source_revision 过期结果丢弃；服务启动时 warm-up。</w:t>
            </w:r>
          </w:p>
        </w:tc>
      </w:tr>
      <w:tr>
        <w:tc>
          <w:tcPr>
            <w:tcW w:type="dxa" w:w="3360"/>
          </w:tcPr>
          <w:p>
            <w:r>
              <w:t>VAD</w:t>
            </w:r>
          </w:p>
        </w:tc>
        <w:tc>
          <w:tcPr>
            <w:tcW w:type="dxa" w:w="3360"/>
          </w:tcPr>
          <w:p>
            <w:r>
              <w:t>FunASR FSMN-VAD</w:t>
            </w:r>
          </w:p>
        </w:tc>
        <w:tc>
          <w:tcPr>
            <w:tcW w:type="dxa" w:w="3360"/>
          </w:tcPr>
          <w:p>
            <w:r>
              <w:t>保留既有音频阈值与静音结束机制，并保留带时间戳的音频帧。</w:t>
            </w:r>
          </w:p>
        </w:tc>
      </w:tr>
    </w:tbl>
    <w:p>
      <w:pPr>
        <w:pStyle w:val="Heading1"/>
      </w:pPr>
      <w:r>
        <w:t>3. 实时数据流</w:t>
      </w:r>
    </w:p>
    <w:p>
      <w:r>
        <w:rPr>
          <w:b w:val="0"/>
        </w:rPr>
        <w:t>浏览器 PCM 音频 → VAD/时间帧保留/技术分段 → Qwen3-ASR-1.7B partial/final → 同模语言证据聚合与时间边界重切片 → 段落聚合器 → segment_id 合并翻译队列 → TranscriptStore 与 paragraph_update → 前端段落卡片。</w:t>
      </w:r>
    </w:p>
    <w:p>
      <w:pPr>
        <w:pStyle w:val="ListBullet"/>
      </w:pPr>
      <w:r>
        <w:t>约 1 秒后由同一 Qwen 模型探测语言；新语言需要连续 3 次一致证据才切换，短暂 unknown 被忽略，中文方言只更新 speech_variant。</w:t>
      </w:r>
    </w:p>
    <w:p>
      <w:pPr>
        <w:pStyle w:val="ListBullet"/>
      </w:pPr>
      <w:r>
        <w:t>语言切换确认后按时间戳切开旧/新窗口再整理 ASR，避免一个 chunk 混入两种语言造成漏字、重复或错序。</w:t>
      </w:r>
    </w:p>
    <w:p>
      <w:pPr>
        <w:pStyle w:val="ListBullet"/>
      </w:pPr>
      <w:r>
        <w:t>partial 采用约 1 秒的 latest-wins；final 优先；翻译任务按 segment_id 合并，旧 source_revision 返回后不能覆盖新文本。</w:t>
      </w:r>
    </w:p>
    <w:p>
      <w:pPr>
        <w:pStyle w:val="ListBullet"/>
      </w:pPr>
      <w:r>
        <w:t>翻译使用本地 OPUS-MT 并在启动时 warm-up；会后本地复译默认关闭，后续如有质量需求可单独请求外部翻译智能体。</w:t>
      </w:r>
    </w:p>
    <w:p>
      <w:pPr>
        <w:pStyle w:val="ListBullet"/>
      </w:pPr>
      <w:r>
        <w:t>停止流程：flush 最后音频段 → 等待实时 ASR → 等待实时翻译队列 → 跳过默认关闭的会后复译 → recording_state=complete → ready_for_summary。</w:t>
      </w:r>
    </w:p>
    <w:p>
      <w:pPr>
        <w:pStyle w:val="Heading1"/>
      </w:pPr>
      <w:r>
        <w:t>4. 存储和 WebSocket 契约</w:t>
      </w:r>
    </w:p>
    <w:p>
      <w:r>
        <w:rPr>
          <w:b w:val="0"/>
        </w:rPr>
        <w:t>每个段落由同一个 segment_id 标识，通过 revision 追加修订事件。段落记录包含 id、segment_id、start、end、language、speech_variant、language_confidence、text、translation_zh、translation_status、revision、source_revision、closed、asr_model、language_source、translation_model。</w:t>
      </w:r>
    </w:p>
    <w:p>
      <w:r>
        <w:rPr>
          <w:b w:val="0"/>
        </w:rPr>
        <w:t>实时事件统一为 paragraph_update；前端按 segment_id 原地更新，不追加逐句节点。transcript.json 保存 paragraphs，transcript.jsonl 保存追加事件，schema_version 为 2.0。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接口</w:t>
            </w:r>
          </w:p>
        </w:tc>
        <w:tc>
          <w:tcPr>
            <w:tcW w:type="dxa" w:w="5040"/>
          </w:tcPr>
          <w:p>
            <w:r>
              <w:t>用途</w:t>
            </w:r>
          </w:p>
        </w:tc>
      </w:tr>
      <w:tr>
        <w:tc>
          <w:tcPr>
            <w:tcW w:type="dxa" w:w="5040"/>
          </w:tcPr>
          <w:p>
            <w:r>
              <w:t>GET /api/v2/meetings/{id}</w:t>
            </w:r>
          </w:p>
        </w:tc>
        <w:tc>
          <w:tcPr>
            <w:tcW w:type="dxa" w:w="5040"/>
          </w:tcPr>
          <w:p>
            <w:r>
              <w:t>会议状态、活动段落、语言和翻译队列快照。</w:t>
            </w:r>
          </w:p>
        </w:tc>
      </w:tr>
      <w:tr>
        <w:tc>
          <w:tcPr>
            <w:tcW w:type="dxa" w:w="5040"/>
          </w:tcPr>
          <w:p>
            <w:r>
              <w:t>GET /api/v2/meetings/{id}/transcript</w:t>
            </w:r>
          </w:p>
        </w:tc>
        <w:tc>
          <w:tcPr>
            <w:tcW w:type="dxa" w:w="5040"/>
          </w:tcPr>
          <w:p>
            <w:r>
              <w:t>schema 2.0 段落列表。</w:t>
            </w:r>
          </w:p>
        </w:tc>
      </w:tr>
      <w:tr>
        <w:tc>
          <w:tcPr>
            <w:tcW w:type="dxa" w:w="5040"/>
          </w:tcPr>
          <w:p>
            <w:r>
              <w:t>POST /api/v2/meetings/{id}/translation/retry</w:t>
            </w:r>
          </w:p>
        </w:tc>
        <w:tc>
          <w:tcPr>
            <w:tcW w:type="dxa" w:w="5040"/>
          </w:tcPr>
          <w:p>
            <w:r>
              <w:t>重新排队失败的段落翻译。</w:t>
            </w:r>
          </w:p>
        </w:tc>
      </w:tr>
      <w:tr>
        <w:tc>
          <w:tcPr>
            <w:tcW w:type="dxa" w:w="5040"/>
          </w:tcPr>
          <w:p>
            <w:r>
              <w:t>POST /api/v2/meetings/{id}/summary</w:t>
            </w:r>
          </w:p>
        </w:tc>
        <w:tc>
          <w:tcPr>
            <w:tcW w:type="dxa" w:w="5040"/>
          </w:tcPr>
          <w:p>
            <w:r>
              <w:t>仅在翻译队列完成后生成纪要。</w:t>
            </w:r>
          </w:p>
        </w:tc>
      </w:tr>
      <w:tr>
        <w:tc>
          <w:tcPr>
            <w:tcW w:type="dxa" w:w="5040"/>
          </w:tcPr>
          <w:p>
            <w:r>
              <w:t>POST /api/v2/meetings/{id}/todo</w:t>
            </w:r>
          </w:p>
        </w:tc>
        <w:tc>
          <w:tcPr>
            <w:tcW w:type="dxa" w:w="5040"/>
          </w:tcPr>
          <w:p>
            <w:r>
              <w:t>基于已保存纪要生成 To-do。</w:t>
            </w:r>
          </w:p>
        </w:tc>
      </w:tr>
    </w:tbl>
    <w:p>
      <w:pPr>
        <w:pStyle w:val="Heading1"/>
      </w:pPr>
      <w:r>
        <w:t>5. 导出和验收重点</w:t>
      </w:r>
    </w:p>
    <w:p>
      <w:pPr>
        <w:pStyle w:val="ListBullet"/>
      </w:pPr>
      <w:r>
        <w:t>meeting_transcript.md、translated_zh.md 和语言原文文件按段落输出时间、语言/方言、原文和译文。</w:t>
      </w:r>
    </w:p>
    <w:p>
      <w:pPr>
        <w:pStyle w:val="ListBullet"/>
      </w:pPr>
      <w:r>
        <w:t>manifest.json 不含人员或旧后台处理字段；不再生成 speaker_segments.json。</w:t>
      </w:r>
    </w:p>
    <w:p>
      <w:pPr>
        <w:pStyle w:val="ListBullet"/>
      </w:pPr>
      <w:r>
        <w:t>验收覆盖中英德切换、普通话与 Qwen 官方 22 类中文方言代表类别切换、长连续语音、短暂低音量、中英夹杂、噪声和多人同时讲话。</w:t>
      </w:r>
    </w:p>
    <w:p>
      <w:pPr>
        <w:pStyle w:val="ListBullet"/>
      </w:pPr>
      <w:r>
        <w:t>测试验证同一 segment_id 的多次 partial 更新、稳定前缀的过期结果丢弃、中文不调用翻译模型、技术切分合并和停止顺序。</w:t>
      </w:r>
    </w:p>
    <w:p>
      <w:pPr>
        <w:pStyle w:val="Heading1"/>
      </w:pPr>
      <w:r>
        <w:t>6. 当前模型配置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配置</w:t>
            </w:r>
          </w:p>
        </w:tc>
        <w:tc>
          <w:tcPr>
            <w:tcW w:type="dxa" w:w="5040"/>
          </w:tcPr>
          <w:p>
            <w:r>
              <w:t>值</w:t>
            </w:r>
          </w:p>
        </w:tc>
      </w:tr>
      <w:tr>
        <w:tc>
          <w:tcPr>
            <w:tcW w:type="dxa" w:w="5040"/>
          </w:tcPr>
          <w:p>
            <w:r>
              <w:t>MEETING_SINGLE_ASR_MODEL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MEETING_ASR_PRIMARY</w:t>
            </w:r>
          </w:p>
        </w:tc>
        <w:tc>
          <w:tcPr>
            <w:tcW w:type="dxa" w:w="5040"/>
          </w:tcPr>
          <w:p>
            <w:r>
              <w:t>Qwen/Qwen3-ASR-1.7B</w:t>
            </w:r>
          </w:p>
        </w:tc>
      </w:tr>
      <w:tr>
        <w:tc>
          <w:tcPr>
            <w:tcW w:type="dxa" w:w="5040"/>
          </w:tcPr>
          <w:p>
            <w:r>
              <w:t>MEETING_ASR_FALLBACK</w:t>
            </w:r>
          </w:p>
        </w:tc>
        <w:tc>
          <w:tcPr>
            <w:tcW w:type="dxa" w:w="5040"/>
          </w:tcPr>
          <w:p>
            <w:r>
              <w:t>Qwen/Qwen3-ASR-1.7B（兼容别名，不加载第二模型）</w:t>
            </w:r>
          </w:p>
        </w:tc>
      </w:tr>
      <w:tr>
        <w:tc>
          <w:tcPr>
            <w:tcW w:type="dxa" w:w="5040"/>
          </w:tcPr>
          <w:p>
            <w:r>
              <w:t>MEETING_ASR_LANGUAGE_ID</w:t>
            </w:r>
          </w:p>
        </w:tc>
        <w:tc>
          <w:tcPr>
            <w:tcW w:type="dxa" w:w="5040"/>
          </w:tcPr>
          <w:p>
            <w:r>
              <w:t>Qwen/Qwen3-ASR-1.7B（兼容别名，同模确认）</w:t>
            </w:r>
          </w:p>
        </w:tc>
      </w:tr>
      <w:tr>
        <w:tc>
          <w:tcPr>
            <w:tcW w:type="dxa" w:w="5040"/>
          </w:tcPr>
          <w:p>
            <w:r>
              <w:t>MEETING_PARTIAL_INTERVAL_MS</w:t>
            </w:r>
          </w:p>
        </w:tc>
        <w:tc>
          <w:tcPr>
            <w:tcW w:type="dxa" w:w="5040"/>
          </w:tcPr>
          <w:p>
            <w:r>
              <w:t>1000</w:t>
            </w:r>
          </w:p>
        </w:tc>
      </w:tr>
      <w:tr>
        <w:tc>
          <w:tcPr>
            <w:tcW w:type="dxa" w:w="5040"/>
          </w:tcPr>
          <w:p>
            <w:r>
              <w:t>MEETING_LANGUAGE_ID_MIN_SECONDS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MEETING_LANGUAGE_CONFLICT_</w:t>
              <w:br/>
              <w:t>CONFIRMATIONS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MEETING_POST_TRANSLATION_ENABLED</w:t>
            </w:r>
          </w:p>
        </w:tc>
        <w:tc>
          <w:tcPr>
            <w:tcW w:type="dxa" w:w="5040"/>
          </w:tcPr>
          <w:p>
            <w:r>
              <w:t>0（默认关闭本地会后复译）</w:t>
            </w:r>
          </w:p>
        </w:tc>
      </w:tr>
      <w:tr>
        <w:tc>
          <w:tcPr>
            <w:tcW w:type="dxa" w:w="5040"/>
          </w:tcPr>
          <w:p>
            <w:r>
              <w:t>TRANSCRIPT_SCHEMA_VERSION</w:t>
            </w:r>
          </w:p>
        </w:tc>
        <w:tc>
          <w:tcPr>
            <w:tcW w:type="dxa" w:w="5040"/>
          </w:tcPr>
          <w:p>
            <w:r>
              <w:t>2.0</w:t>
            </w:r>
          </w:p>
        </w:tc>
      </w:tr>
    </w:tbl>
    <w:p>
      <w:r>
        <w:rPr>
          <w:b w:val="0"/>
        </w:rPr>
        <w:t>模型能力与部署前检查以仓库 README.md、DEPLOYMENT.md、config.py、runtime.py、session.py 和 storage.py 为准。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实时会议转写产品说明（单模型 Qwen 段落架构）</dc:title>
  <dc:subject>Qwen 单模型、同模语言确认、段落式实时转写与翻译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