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实时会议转写</w:t>
      </w:r>
    </w:p>
    <w:p>
      <w:pPr>
        <w:jc w:val="center"/>
      </w:pPr>
      <w:r>
        <w:rPr>
          <w:b/>
        </w:rPr>
        <w:t>Qwen 双模型 + 自动语言/方言判断 + 段落式输出</w:t>
      </w:r>
    </w:p>
    <w:p>
      <w:pPr>
        <w:pStyle w:val="Heading1"/>
      </w:pPr>
      <w:r>
        <w:t>1. 产品定义</w:t>
      </w:r>
    </w:p>
    <w:p>
      <w:r>
        <w:rPr>
          <w:b w:val="0"/>
        </w:rPr>
        <w:t>系统在录音期间持续输出可读的会议段落：Qwen3-ASR-0.6B 负责识别语言和中文方言，Qwen3-ASR-1.7B 负责实时转写；英文和德文通过本地 OPUS-MT 翻译为简体中文，中文及中文方言直接规范为简体中文。</w:t>
      </w:r>
    </w:p>
    <w:p>
      <w:pPr>
        <w:pStyle w:val="ListBullet"/>
      </w:pPr>
      <w:r>
        <w:t>一个连续的语言/方言语音段对应一个段落卡片，partial 只修订当前卡片。</w:t>
      </w:r>
    </w:p>
    <w:p>
      <w:pPr>
        <w:pStyle w:val="ListBullet"/>
      </w:pPr>
      <w:r>
        <w:t>静音达到阈值或语言/方言稳定切换时结束段落；技术性音频切分不会制造额外显示段落。</w:t>
      </w:r>
    </w:p>
    <w:p>
      <w:pPr>
        <w:pStyle w:val="ListBullet"/>
      </w:pPr>
      <w:r>
        <w:t>系统不保存人员身份、手动语言锁定或会后第二套 ASR 结果。</w:t>
      </w:r>
    </w:p>
    <w:p>
      <w:pPr>
        <w:pStyle w:val="ListBullet"/>
      </w:pPr>
      <w:r>
        <w:t>旧会议数据不迁移；新存储契约使用 transcript schema 2.0。</w:t>
      </w:r>
    </w:p>
    <w:p>
      <w:pPr>
        <w:pStyle w:val="Heading1"/>
      </w:pPr>
      <w:r>
        <w:t>2. 模型与适配层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用途</w:t>
            </w:r>
          </w:p>
        </w:tc>
        <w:tc>
          <w:tcPr>
            <w:tcW w:type="dxa" w:w="3360"/>
          </w:tcPr>
          <w:p>
            <w:r>
              <w:t>模型</w:t>
            </w:r>
          </w:p>
        </w:tc>
        <w:tc>
          <w:tcPr>
            <w:tcW w:type="dxa" w:w="3360"/>
          </w:tcPr>
          <w:p>
            <w:r>
              <w:t>传参策略</w:t>
            </w:r>
          </w:p>
        </w:tc>
      </w:tr>
      <w:tr>
        <w:tc>
          <w:tcPr>
            <w:tcW w:type="dxa" w:w="3360"/>
          </w:tcPr>
          <w:p>
            <w:r>
              <w:t>实时 ASR</w:t>
            </w:r>
          </w:p>
        </w:tc>
        <w:tc>
          <w:tcPr>
            <w:tcW w:type="dxa" w:w="3360"/>
          </w:tcPr>
          <w:p>
            <w:r>
              <w:t>Qwen/Qwen3-ASR-1.7B</w:t>
            </w:r>
          </w:p>
        </w:tc>
        <w:tc>
          <w:tcPr>
            <w:tcW w:type="dxa" w:w="3360"/>
          </w:tcPr>
          <w:p>
            <w:r>
              <w:t>en=English；de=German；中文=Chinese；粤语=Cantonese；四川话/吴语使用 Chinese 加上下文提示。</w:t>
            </w:r>
          </w:p>
        </w:tc>
      </w:tr>
      <w:tr>
        <w:tc>
          <w:tcPr>
            <w:tcW w:type="dxa" w:w="3360"/>
          </w:tcPr>
          <w:p>
            <w:r>
              <w:t>语言/方言判断</w:t>
            </w:r>
          </w:p>
        </w:tc>
        <w:tc>
          <w:tcPr>
            <w:tcW w:type="dxa" w:w="3360"/>
          </w:tcPr>
          <w:p>
            <w:r>
              <w:t>Qwen/Qwen3-ASR-0.6B</w:t>
            </w:r>
          </w:p>
        </w:tc>
        <w:tc>
          <w:tcPr>
            <w:tcW w:type="dxa" w:w="3360"/>
          </w:tcPr>
          <w:p>
            <w:r>
              <w:t>新段开始约 0.8 秒判断一次；冲突连续确认，不对每个 partial 调用。</w:t>
            </w:r>
          </w:p>
        </w:tc>
      </w:tr>
      <w:tr>
        <w:tc>
          <w:tcPr>
            <w:tcW w:type="dxa" w:w="3360"/>
          </w:tcPr>
          <w:p>
            <w:r>
              <w:t>实时失败回退</w:t>
            </w:r>
          </w:p>
        </w:tc>
        <w:tc>
          <w:tcPr>
            <w:tcW w:type="dxa" w:w="3360"/>
          </w:tcPr>
          <w:p>
            <w:r>
              <w:t>Qwen/Qwen3-ASR-0.6B</w:t>
            </w:r>
          </w:p>
        </w:tc>
        <w:tc>
          <w:tcPr>
            <w:tcW w:type="dxa" w:w="3360"/>
          </w:tcPr>
          <w:p>
            <w:r>
              <w:t>主模型异常时继续输出，并保留实际使用的 asr_model。</w:t>
            </w:r>
          </w:p>
        </w:tc>
      </w:tr>
      <w:tr>
        <w:tc>
          <w:tcPr>
            <w:tcW w:type="dxa" w:w="3360"/>
          </w:tcPr>
          <w:p>
            <w:r>
              <w:t>英文/德文翻译</w:t>
            </w:r>
          </w:p>
        </w:tc>
        <w:tc>
          <w:tcPr>
            <w:tcW w:type="dxa" w:w="3360"/>
          </w:tcPr>
          <w:p>
            <w:r>
              <w:t>OPUS-MT en→zh / de→zh</w:t>
            </w:r>
          </w:p>
        </w:tc>
        <w:tc>
          <w:tcPr>
            <w:tcW w:type="dxa" w:w="3360"/>
          </w:tcPr>
          <w:p>
            <w:r>
              <w:t>按稳定原文前缀顺序翻译；旧 source_revision 结果丢弃。</w:t>
            </w:r>
          </w:p>
        </w:tc>
      </w:tr>
      <w:tr>
        <w:tc>
          <w:tcPr>
            <w:tcW w:type="dxa" w:w="3360"/>
          </w:tcPr>
          <w:p>
            <w:r>
              <w:t>VAD</w:t>
            </w:r>
          </w:p>
        </w:tc>
        <w:tc>
          <w:tcPr>
            <w:tcW w:type="dxa" w:w="3360"/>
          </w:tcPr>
          <w:p>
            <w:r>
              <w:t>FunASR FSMN-VAD</w:t>
            </w:r>
          </w:p>
        </w:tc>
        <w:tc>
          <w:tcPr>
            <w:tcW w:type="dxa" w:w="3360"/>
          </w:tcPr>
          <w:p>
            <w:r>
              <w:t>保留既有音频阈值与静音结束机制。</w:t>
            </w:r>
          </w:p>
        </w:tc>
      </w:tr>
    </w:tbl>
    <w:p>
      <w:pPr>
        <w:pStyle w:val="Heading1"/>
      </w:pPr>
      <w:r>
        <w:t>3. 实时数据流</w:t>
      </w:r>
    </w:p>
    <w:p>
      <w:r>
        <w:rPr>
          <w:b w:val="0"/>
        </w:rPr>
        <w:t>浏览器 PCM 音频 → VAD/技术分段 → 0.6B 语言判断 → 1.7B 实时 ASR → 段落聚合器 → 稳定前缀翻译队列 → TranscriptStore 与 paragraph_update → 前端段落卡片。</w:t>
      </w:r>
    </w:p>
    <w:p>
      <w:pPr>
        <w:pStyle w:val="ListBullet"/>
      </w:pPr>
      <w:r>
        <w:t>首次语言判断只形成候选；相同新结果连续确认后才切换稳定语言/方言。短暂 unknown 不切段。</w:t>
      </w:r>
    </w:p>
    <w:p>
      <w:pPr>
        <w:pStyle w:val="ListBullet"/>
      </w:pPr>
      <w:r>
        <w:t>原文 partial 实时更新；译文只对稳定前缀异步更新；段落关闭时使用完整最终原文重新翻译。</w:t>
      </w:r>
    </w:p>
    <w:p>
      <w:pPr>
        <w:pStyle w:val="ListBullet"/>
      </w:pPr>
      <w:r>
        <w:t>翻译队列按段落顺序单 worker 执行，失败自动重试；持续失败保留原文并提供 translation/retry。</w:t>
      </w:r>
    </w:p>
    <w:p>
      <w:pPr>
        <w:pStyle w:val="ListBullet"/>
      </w:pPr>
      <w:r>
        <w:t>停止流程：flush 最后音频段 → 等待实时 ASR → 等待翻译队列 → recording_state=complete → ready_for_summary。</w:t>
      </w:r>
    </w:p>
    <w:p>
      <w:pPr>
        <w:pStyle w:val="Heading1"/>
      </w:pPr>
      <w:r>
        <w:t>4. 存储和 WebSocket 契约</w:t>
      </w:r>
    </w:p>
    <w:p>
      <w:r>
        <w:rPr>
          <w:b w:val="0"/>
        </w:rPr>
        <w:t>每个段落由同一个 segment_id 标识，通过 revision 追加修订事件。段落记录包含 id、segment_id、start、end、language、speech_variant、language_confidence、text、translation_zh、translation_status、revision、source_revision、closed、asr_model、language_source、translation_model。</w:t>
      </w:r>
    </w:p>
    <w:p>
      <w:r>
        <w:rPr>
          <w:b w:val="0"/>
        </w:rPr>
        <w:t>实时事件统一为 paragraph_update；前端按 segment_id 原地更新，不追加逐句节点。transcript.json 保存 paragraphs，transcript.jsonl 保存追加事件，schema_version 为 2.0。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接口</w:t>
            </w:r>
          </w:p>
        </w:tc>
        <w:tc>
          <w:tcPr>
            <w:tcW w:type="dxa" w:w="5040"/>
          </w:tcPr>
          <w:p>
            <w:r>
              <w:t>用途</w:t>
            </w:r>
          </w:p>
        </w:tc>
      </w:tr>
      <w:tr>
        <w:tc>
          <w:tcPr>
            <w:tcW w:type="dxa" w:w="5040"/>
          </w:tcPr>
          <w:p>
            <w:r>
              <w:t>GET /api/v2/meetings/{id}</w:t>
            </w:r>
          </w:p>
        </w:tc>
        <w:tc>
          <w:tcPr>
            <w:tcW w:type="dxa" w:w="5040"/>
          </w:tcPr>
          <w:p>
            <w:r>
              <w:t>会议状态、活动段落、语言和翻译队列快照。</w:t>
            </w:r>
          </w:p>
        </w:tc>
      </w:tr>
      <w:tr>
        <w:tc>
          <w:tcPr>
            <w:tcW w:type="dxa" w:w="5040"/>
          </w:tcPr>
          <w:p>
            <w:r>
              <w:t>GET /api/v2/meetings/{id}/transcript</w:t>
            </w:r>
          </w:p>
        </w:tc>
        <w:tc>
          <w:tcPr>
            <w:tcW w:type="dxa" w:w="5040"/>
          </w:tcPr>
          <w:p>
            <w:r>
              <w:t>schema 2.0 段落列表。</w:t>
            </w:r>
          </w:p>
        </w:tc>
      </w:tr>
      <w:tr>
        <w:tc>
          <w:tcPr>
            <w:tcW w:type="dxa" w:w="5040"/>
          </w:tcPr>
          <w:p>
            <w:r>
              <w:t>POST /api/v2/meetings/{id}/translation/retry</w:t>
            </w:r>
          </w:p>
        </w:tc>
        <w:tc>
          <w:tcPr>
            <w:tcW w:type="dxa" w:w="5040"/>
          </w:tcPr>
          <w:p>
            <w:r>
              <w:t>重新排队失败的段落翻译。</w:t>
            </w:r>
          </w:p>
        </w:tc>
      </w:tr>
      <w:tr>
        <w:tc>
          <w:tcPr>
            <w:tcW w:type="dxa" w:w="5040"/>
          </w:tcPr>
          <w:p>
            <w:r>
              <w:t>POST /api/v2/meetings/{id}/summary</w:t>
            </w:r>
          </w:p>
        </w:tc>
        <w:tc>
          <w:tcPr>
            <w:tcW w:type="dxa" w:w="5040"/>
          </w:tcPr>
          <w:p>
            <w:r>
              <w:t>仅在翻译队列完成后生成纪要。</w:t>
            </w:r>
          </w:p>
        </w:tc>
      </w:tr>
      <w:tr>
        <w:tc>
          <w:tcPr>
            <w:tcW w:type="dxa" w:w="5040"/>
          </w:tcPr>
          <w:p>
            <w:r>
              <w:t>POST /api/v2/meetings/{id}/todo</w:t>
            </w:r>
          </w:p>
        </w:tc>
        <w:tc>
          <w:tcPr>
            <w:tcW w:type="dxa" w:w="5040"/>
          </w:tcPr>
          <w:p>
            <w:r>
              <w:t>基于已保存纪要生成 To-do。</w:t>
            </w:r>
          </w:p>
        </w:tc>
      </w:tr>
    </w:tbl>
    <w:p>
      <w:pPr>
        <w:pStyle w:val="Heading1"/>
      </w:pPr>
      <w:r>
        <w:t>5. 导出和验收重点</w:t>
      </w:r>
    </w:p>
    <w:p>
      <w:pPr>
        <w:pStyle w:val="ListBullet"/>
      </w:pPr>
      <w:r>
        <w:t>meeting_transcript.md、translated_zh.md 和语言原文文件按段落输出时间、语言/方言、原文和译文。</w:t>
      </w:r>
    </w:p>
    <w:p>
      <w:pPr>
        <w:pStyle w:val="ListBullet"/>
      </w:pPr>
      <w:r>
        <w:t>manifest.json 不含人员或旧后台处理字段；不再生成 speaker_segments.json。</w:t>
      </w:r>
    </w:p>
    <w:p>
      <w:pPr>
        <w:pStyle w:val="ListBullet"/>
      </w:pPr>
      <w:r>
        <w:t>验收覆盖中英德切换、普通话/粤语/四川话/吴语切换、长连续语音、短暂低音量、中英夹杂、噪声和多人同时讲话。</w:t>
      </w:r>
    </w:p>
    <w:p>
      <w:pPr>
        <w:pStyle w:val="ListBullet"/>
      </w:pPr>
      <w:r>
        <w:t>测试验证同一 segment_id 的多次 partial 更新、稳定前缀的过期结果丢弃、中文不调用翻译模型、技术切分合并和停止顺序。</w:t>
      </w:r>
    </w:p>
    <w:p>
      <w:pPr>
        <w:pStyle w:val="Heading1"/>
      </w:pPr>
      <w:r>
        <w:t>6. 当前模型配置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配置</w:t>
            </w:r>
          </w:p>
        </w:tc>
        <w:tc>
          <w:tcPr>
            <w:tcW w:type="dxa" w:w="5040"/>
          </w:tcPr>
          <w:p>
            <w:r>
              <w:t>值</w:t>
            </w:r>
          </w:p>
        </w:tc>
      </w:tr>
      <w:tr>
        <w:tc>
          <w:tcPr>
            <w:tcW w:type="dxa" w:w="5040"/>
          </w:tcPr>
          <w:p>
            <w:r>
              <w:t>MEETING_ASR_PRIMARY</w:t>
            </w:r>
          </w:p>
        </w:tc>
        <w:tc>
          <w:tcPr>
            <w:tcW w:type="dxa" w:w="5040"/>
          </w:tcPr>
          <w:p>
            <w:r>
              <w:t>Qwen/Qwen3-ASR-1.7B</w:t>
            </w:r>
          </w:p>
        </w:tc>
      </w:tr>
      <w:tr>
        <w:tc>
          <w:tcPr>
            <w:tcW w:type="dxa" w:w="5040"/>
          </w:tcPr>
          <w:p>
            <w:r>
              <w:t>MEETING_ASR_FALLBACK</w:t>
            </w:r>
          </w:p>
        </w:tc>
        <w:tc>
          <w:tcPr>
            <w:tcW w:type="dxa" w:w="5040"/>
          </w:tcPr>
          <w:p>
            <w:r>
              <w:t>Qwen/Qwen3-ASR-0.6B</w:t>
            </w:r>
          </w:p>
        </w:tc>
      </w:tr>
      <w:tr>
        <w:tc>
          <w:tcPr>
            <w:tcW w:type="dxa" w:w="5040"/>
          </w:tcPr>
          <w:p>
            <w:r>
              <w:t>MEETING_ASR_LANGUAGE_ID</w:t>
            </w:r>
          </w:p>
        </w:tc>
        <w:tc>
          <w:tcPr>
            <w:tcW w:type="dxa" w:w="5040"/>
          </w:tcPr>
          <w:p>
            <w:r>
              <w:t>Qwen/Qwen3-ASR-0.6B</w:t>
            </w:r>
          </w:p>
        </w:tc>
      </w:tr>
      <w:tr>
        <w:tc>
          <w:tcPr>
            <w:tcW w:type="dxa" w:w="5040"/>
          </w:tcPr>
          <w:p>
            <w:r>
              <w:t>TRANSCRIPT_SCHEMA_VERSION</w:t>
            </w:r>
          </w:p>
        </w:tc>
        <w:tc>
          <w:tcPr>
            <w:tcW w:type="dxa" w:w="5040"/>
          </w:tcPr>
          <w:p>
            <w:r>
              <w:t>2.0</w:t>
            </w:r>
          </w:p>
        </w:tc>
      </w:tr>
      <w:tr>
        <w:tc>
          <w:tcPr>
            <w:tcW w:type="dxa" w:w="5040"/>
          </w:tcPr>
          <w:p>
            <w:r>
              <w:t>language_id_min_seconds</w:t>
            </w:r>
          </w:p>
        </w:tc>
        <w:tc>
          <w:tcPr>
            <w:tcW w:type="dxa" w:w="5040"/>
          </w:tcPr>
          <w:p>
            <w:r>
              <w:t>0.8</w:t>
            </w:r>
          </w:p>
        </w:tc>
      </w:tr>
    </w:tbl>
    <w:p>
      <w:r>
        <w:rPr>
          <w:b w:val="0"/>
        </w:rPr>
        <w:t>模型能力与部署前检查以仓库 README.md、DEPLOYMENT.md、config.py、runtime.py、session.py 和 storage.py 为准。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实时会议转写产品说明（Qwen 段落架构）</dc:title>
  <dc:subject>Qwen 双模型、自动语言方言判断、段落式实时转写与翻译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