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44"/>
        </w:rPr>
        <w:t>凹凸棒石进入电池材料：三条研究路线与一道产业化边界</w:t>
      </w:r>
    </w:p>
    <w:p>
      <w:pPr>
        <w:pStyle w:val="Heading2"/>
        <w:ind w:firstLine="0"/>
      </w:pPr>
      <w:r>
        <w:t>摘要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公开论文显示，凹凸棒石已被用于锂硫电池隔膜、复合正极和锂离子电池多层隔膜，但现有证据主要来自特定实验体系，尚不足以推出商业化结论。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/>
          <w:color w:val="182230"/>
          <w:sz w:val="24"/>
        </w:rPr>
        <w:t>讨论凹凸棒石在新能源领域的应用，首先要分清它在电池结构中承担什么角色。现有资料呈现出三条不同路线：修饰隔膜、构成复合正极，以及进入孔径梯度多层隔膜。它们可以证明研究路径存在，却不能自动回答量产、成本和客户采用问题。</w:t>
      </w:r>
    </w:p>
    <w:p>
      <w:pPr>
        <w:pStyle w:val="Heading1"/>
        <w:ind w:firstLine="0"/>
      </w:pPr>
      <w:r>
        <w:t>先看隔膜：有效果，也有条件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2020年的一项研究将凹凸棒石、乙炔黑和PVDF制成涂层，用于修饰PP隔膜。这里，凹凸棒石与导电碳和粘结材料共同构成复合层，涂层采用刮涂并经真空干燥处理。评价这条路线时，应同时关注材料配比和制造过程。 [1]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性能数字必须连同实验边界一起阅读：测试对象是采用液态电解液的CR2025锂硫扣式电池，实验在室温下进行，硫载量为1.5 mg cm⁻²，电解液用量为40 μL，电压窗口为1.7—2.8 V。在0.5 C条件下，首次放电比容量为1059.4 mAh g⁻¹，第200次循环为792.5 mAh g⁻¹。 [1]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这组结果支持复合涂层在上述条件下改善循环表现，但不能被改写成全固态电池成果，更不能直接等同于商业化。论文还显示，增加凹凸棒石比例并非总能带来更好结果，过量反而会增大阻抗，材料配比本身就是性能约束。 [1]</w:t>
      </w:r>
    </w:p>
    <w:p>
      <w:pPr>
        <w:pStyle w:val="Heading1"/>
        <w:ind w:firstLine="0"/>
      </w:pPr>
      <w:r>
        <w:t>正极载体是另一种角色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凹凸棒石还出现在正极体系中。已有论文制备石墨烯功能化凹凸棒石/硫复合材料，并将其作为锂硫电池正极研究对象，讨论吸附与限域作用。它与前述隔膜涂层并非同一条技术路线：一个位于复合正极，一个用于修饰隔膜。 [2]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由于本次资料没有完整核对该研究的全部电池条件，因此只能确认其结构和用途，不能引用性能数字，也不能据此判断路线已经量产。区分“发表过研究”与“形成产业应用”，是阅读这类材料论文时必须保留的边界。 [2]</w:t>
      </w:r>
    </w:p>
    <w:p>
      <w:pPr>
        <w:pStyle w:val="Heading1"/>
        <w:ind w:firstLine="0"/>
      </w:pPr>
      <w:r>
        <w:t>锂离子电池中的多层隔膜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2024年发表的另一项研究把微米纤维、纳米纤维与凹凸棒石组合为具有孔径梯度的多层隔膜，并考察其多孔结构、电解液润湿性、机械与热性质以及电池表现。这表明，凹凸棒石也被置于锂离子电池隔膜的复合结构中研究。 [3]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本次证据只能确认这项研究的对象和路线。由于完整测试条件尚未核对，不能从论文题名或摘要进一步外推具体性能、安全认证或规模制造能力。对凹凸棒石价值的判断，仍须落到它与纤维层及整体孔结构如何配合。 [3]</w:t>
      </w:r>
    </w:p>
    <w:p>
      <w:pPr>
        <w:pStyle w:val="Heading1"/>
        <w:ind w:firstLine="0"/>
      </w:pPr>
      <w:r>
        <w:t>从论文走向应用，还要验证什么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基于这些证据的判断是，凹凸棒石更适合被视为复合体系中的功能组分，而不是脱离结构和工艺单独评价的材料。隔膜研究中的导电碳、粘结材料和涂层配比，复合正极中的石墨烯与硫，以及多层隔膜中的纤维结构，都会共同界定其实际作用。 [1][2][3]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配比与阻抗之间的权衡还提示，材料加入体系并不等于性能必然提高。基于本次有限证据，可以推断后续评估不能省略导电网络、涂层工艺和制造验证；这些环节能否在目标体系中同时成立，仍需验证。 [1][2][3]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本次资料没有提供客户定点、量产成本或长期供货证据，因此不足以作出商业化结论，也不能据此断言整个行业没有其他进展。现阶段能够确认的，是凹凸棒石已进入若干电池材料研究路线；从特定实验结果走向可制造、可持续供应的产品，证据链仍不完整。 [1][2][3]</w:t>
      </w:r>
    </w:p>
    <w:p>
      <w:pPr>
        <w:spacing w:line="360" w:lineRule="auto"/>
        <w:ind w:firstLine="480" w:firstLineChars="200"/>
      </w:pPr>
      <w:r>
        <w:rPr>
          <w:rFonts w:ascii="Microsoft YaHei" w:hAnsi="Microsoft YaHei" w:eastAsia="Microsoft YaHei" w:cs="Microsoft YaHei"/>
          <w:b w:val="0"/>
          <w:i w:val="0"/>
          <w:color w:val="182230"/>
          <w:sz w:val="24"/>
        </w:rPr>
        <w:t>判断凹凸棒石的应用价值，需要把材料角色、实验条件与制造证据分开核对；论文证明了什么，就把结论写到哪里。</w:t>
      </w:r>
    </w:p>
    <w:p>
      <w:pPr>
        <w:pStyle w:val="Heading1"/>
        <w:ind w:firstLine="0"/>
      </w:pPr>
      <w:r>
        <w:t>参考文献</w:t>
      </w:r>
    </w:p>
    <w:p>
      <w:pPr>
        <w:pStyle w:val="Reference"/>
        <w:ind w:hanging="420" w:left="420"/>
      </w:pPr>
      <w:r>
        <w:rPr>
          <w:rFonts w:ascii="Microsoft YaHei" w:hAnsi="Microsoft YaHei" w:eastAsia="Microsoft YaHei" w:cs="Microsoft YaHei"/>
          <w:b w:val="0"/>
          <w:i w:val="0"/>
          <w:color w:val="64748B"/>
          <w:sz w:val="21"/>
        </w:rPr>
        <w:t xml:space="preserve">[1] “Attapulgite nanorods assisted surface engineering for separator to achieve high-performance lithium–sulfur batteries”, Wenhao Sun et al. · Journal of Energy Chemistry, 2020. </w:t>
      </w:r>
      <w:r>
        <w:t xml:space="preserve"> </w:t>
      </w:r>
      <w:hyperlink r:id="rId11">
        <w:r>
          <w:rPr>
            <w:rFonts w:ascii="Microsoft YaHei" w:hAnsi="Microsoft YaHei" w:eastAsia="Microsoft YaHei" w:cs="Microsoft YaHei"/>
            <w:sz w:val="21"/>
            <w:color w:val="147D79"/>
            <w:u w:val="single"/>
          </w:rPr>
          <w:t>https://doi.org/10.1016/j.jechem.2020.02.030</w:t>
        </w:r>
      </w:hyperlink>
      <w:r>
        <w:t>.</w:t>
      </w:r>
    </w:p>
    <w:p>
      <w:pPr>
        <w:pStyle w:val="Reference"/>
        <w:ind w:hanging="420" w:left="420"/>
      </w:pPr>
      <w:r>
        <w:rPr>
          <w:rFonts w:ascii="Microsoft YaHei" w:hAnsi="Microsoft YaHei" w:eastAsia="Microsoft YaHei" w:cs="Microsoft YaHei"/>
          <w:b w:val="0"/>
          <w:i w:val="0"/>
          <w:color w:val="64748B"/>
          <w:sz w:val="21"/>
        </w:rPr>
        <w:t xml:space="preserve">[2] “Graphene functionalized attapulgite/sulfur composite as cathode of lithium–sulfur batteries for energy storage”, Qinxing Xie et al. · Microporous and Mesoporous Materials, 2016. </w:t>
      </w:r>
      <w:r>
        <w:t xml:space="preserve"> </w:t>
      </w:r>
      <w:hyperlink r:id="rId12">
        <w:r>
          <w:rPr>
            <w:rFonts w:ascii="Microsoft YaHei" w:hAnsi="Microsoft YaHei" w:eastAsia="Microsoft YaHei" w:cs="Microsoft YaHei"/>
            <w:sz w:val="21"/>
            <w:color w:val="147D79"/>
            <w:u w:val="single"/>
          </w:rPr>
          <w:t>https://doi.org/10.1016/j.micromeso.2015.11.049</w:t>
        </w:r>
      </w:hyperlink>
      <w:r>
        <w:t>.</w:t>
      </w:r>
    </w:p>
    <w:p>
      <w:pPr>
        <w:pStyle w:val="Reference"/>
        <w:ind w:hanging="420" w:left="420"/>
      </w:pPr>
      <w:r>
        <w:rPr>
          <w:rFonts w:ascii="Microsoft YaHei" w:hAnsi="Microsoft YaHei" w:eastAsia="Microsoft YaHei" w:cs="Microsoft YaHei"/>
          <w:b w:val="0"/>
          <w:i w:val="0"/>
          <w:color w:val="64748B"/>
          <w:sz w:val="21"/>
        </w:rPr>
        <w:t xml:space="preserve">[3] “Microfiber/Nanofiber/Attapulgite Multilayer Separator with a Pore-Size Gradient for High-Performance and Safe Lithium-Ion Batteries”, Molecules 29(14), 3277, 2024. </w:t>
      </w:r>
      <w:r>
        <w:t xml:space="preserve"> </w:t>
      </w:r>
      <w:hyperlink r:id="rId13">
        <w:r>
          <w:rPr>
            <w:rFonts w:ascii="Microsoft YaHei" w:hAnsi="Microsoft YaHei" w:eastAsia="Microsoft YaHei" w:cs="Microsoft YaHei"/>
            <w:sz w:val="21"/>
            <w:color w:val="147D79"/>
            <w:u w:val="single"/>
          </w:rPr>
          <w:t>https://doi.org/10.3390/molecules29143277</w:t>
        </w:r>
      </w:hyperlink>
      <w: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47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Microsoft YaHei" w:hAnsi="Microsoft YaHei" w:eastAsia="Microsoft YaHei" w:cs="Microsoft YaHei"/>
        <w:color w:val="64748B"/>
        <w:sz w:val="18"/>
      </w:rPr>
      <w:t xml:space="preserve">第 </w:t>
    </w:r>
    <w:r>
      <w:rPr>
        <w:rFonts w:ascii="Microsoft YaHei" w:hAnsi="Microsoft YaHei" w:eastAsia="Microsoft YaHei" w:cs="Microsoft YaHei"/>
        <w:color w:val="64748B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 w:cs="Microsoft YaHei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Microsoft YaHei" w:hAnsi="Microsoft YaHei" w:eastAsia="Microsoft YaHei" w:cs="Microsoft YaHei"/>
        <w:color w:val="64748B"/>
        <w:sz w:val="18"/>
      </w:rPr>
      <w:t>公众号文章工作台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YaHei" w:hAnsi="Microsoft YaHei" w:eastAsia="Microsoft YaHei" w:cs="Microsoft YaHe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60" w:lineRule="auto"/>
      <w:ind w:firstLine="0"/>
      <w:jc w:val="left"/>
    </w:pPr>
    <w:rPr>
      <w:rFonts w:ascii="Microsoft YaHei" w:hAnsi="Microsoft YaHei" w:eastAsia="Microsoft YaHei" w:cs="Microsoft YaHei"/>
      <w:color w:val="1822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ind w:firstLine="0"/>
      <w:outlineLvl w:val="0"/>
    </w:pPr>
    <w:rPr>
      <w:rFonts w:ascii="Microsoft YaHei" w:hAnsi="Microsoft YaHei" w:eastAsia="Microsoft YaHei" w:cs="Microsoft YaHei"/>
      <w:b/>
      <w:bCs/>
      <w:color w:val="147D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ind w:firstLine="0"/>
      <w:outlineLvl w:val="1"/>
    </w:pPr>
    <w:rPr>
      <w:rFonts w:ascii="Microsoft YaHei" w:hAnsi="Microsoft YaHei" w:eastAsia="Microsoft YaHei" w:cs="Microsoft YaHei"/>
      <w:b/>
      <w:bCs/>
      <w:color w:val="147D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ind w:firstLine="0"/>
      <w:outlineLvl w:val="2"/>
    </w:pPr>
    <w:rPr>
      <w:rFonts w:ascii="Microsoft YaHei" w:hAnsi="Microsoft YaHei" w:eastAsia="Microsoft YaHei" w:cs="Microsoft YaHei"/>
      <w:b/>
      <w:bCs/>
      <w:color w:val="147D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 w:cs="Microsoft YaHei"/>
      <w:color w:val="182230"/>
      <w:sz w:val="24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76" w:lineRule="auto" w:before="0"/>
      <w:ind w:firstLine="0"/>
      <w:contextualSpacing/>
      <w:jc w:val="center"/>
    </w:pPr>
    <w:rPr>
      <w:rFonts w:ascii="Microsoft YaHei" w:hAnsi="Microsoft YaHei" w:eastAsia="Microsoft YaHei" w:cs="Microsoft YaHei"/>
      <w:b/>
      <w:color w:val="18223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  <w:ind w:firstLine="0"/>
    </w:pPr>
    <w:rPr>
      <w:rFonts w:ascii="Microsoft YaHei" w:hAnsi="Microsoft YaHei" w:eastAsia="Microsoft YaHei" w:cs="Microsoft YaHei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60" w:lineRule="auto"/>
      <w:ind w:left="420" w:hanging="210"/>
      <w:contextualSpacing/>
    </w:pPr>
    <w:rPr>
      <w:rFonts w:ascii="Microsoft YaHei" w:hAnsi="Microsoft YaHei" w:eastAsia="Microsoft YaHei" w:cs="Microsoft YaHei"/>
      <w:color w:val="18223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60" w:lineRule="auto"/>
      <w:ind w:left="420" w:hanging="210"/>
      <w:contextualSpacing/>
    </w:pPr>
    <w:rPr>
      <w:rFonts w:ascii="Microsoft YaHei" w:hAnsi="Microsoft YaHei" w:eastAsia="Microsoft YaHei" w:cs="Microsoft YaHei"/>
      <w:color w:val="18223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100" w:line="276" w:lineRule="auto"/>
      <w:ind w:left="420" w:hanging="420"/>
    </w:pPr>
    <w:rPr>
      <w:rFonts w:ascii="Microsoft YaHei" w:hAnsi="Microsoft YaHei" w:eastAsia="Microsoft YaHei" w:cs="Microsoft YaHei"/>
      <w:color w:val="64748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016/j.jechem.2020.02.030" TargetMode="External"/><Relationship Id="rId12" Type="http://schemas.openxmlformats.org/officeDocument/2006/relationships/hyperlink" Target="https://doi.org/10.1016/j.micromeso.2015.11.049" TargetMode="External"/><Relationship Id="rId13" Type="http://schemas.openxmlformats.org/officeDocument/2006/relationships/hyperlink" Target="https://doi.org/10.3390/molecules291432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凹凸棒石进入电池材料：三条研究路线与一道产业化边界</dc:title>
  <dc:subject>中文文章</dc:subject>
  <dc:creator>公众号文章工作台</dc:creator>
  <cp:keywords/>
  <dc:description>依据公开资料整理。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