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MOF 用于固态电解质，离商业化还有多远？</w:t>
      </w:r>
    </w:p>
    <w:p>
      <w:r>
        <w:rPr>
          <w:rFonts w:ascii="Calibri" w:hAnsi="Calibri" w:eastAsia="Microsoft YaHei"/>
          <w:color w:val="303030"/>
          <w:sz w:val="22"/>
        </w:rPr>
        <w:t>本文依据公开论文、综述、专利和企业资料整理，具体出处见文末。</w:t>
      </w:r>
    </w:p>
    <w:p>
      <w:r>
        <w:rPr>
          <w:rFonts w:ascii="Calibri" w:hAnsi="Calibri" w:eastAsia="Microsoft YaHei"/>
          <w:b/>
          <w:color w:val="0B2545"/>
          <w:sz w:val="22"/>
        </w:rPr>
        <w:t>摘要：</w:t>
      </w:r>
      <w:r>
        <w:rPr>
          <w:rFonts w:ascii="Calibri" w:hAnsi="Calibri" w:eastAsia="Microsoft YaHei"/>
          <w:color w:val="303030"/>
          <w:sz w:val="22"/>
        </w:rPr>
        <w:t xml:space="preserve"> 公开研究已经证明部分 MOF 骨架和复合膜具备离子传导与界面调节潜力，但厚电极、无液体、规模制造、成本和客户验证仍未闭合。未来 3—8 年，更值得跟踪的是低用量的复合电解质、界面层和隔膜涂层。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先给投资人结论：有条件的局部机会，不是主电解质替代故事</w:t>
      </w:r>
    </w:p>
    <w:p>
      <w:r>
        <w:rPr>
          <w:rFonts w:ascii="Calibri" w:hAnsi="Calibri" w:eastAsia="Microsoft YaHei"/>
          <w:color w:val="303030"/>
          <w:sz w:val="22"/>
        </w:rPr>
        <w:t>如果只看论文标题和电导率，MOF（金属有机框架）很容易被写成“下一代固态电解质”。但把配方、测试条件、制造方式和客户验证放在同一张表里，结论会更克制：MOF 的材料级可行性已经被多篇论文证明，商业化却还没有跨过厚电极、无液体、批次一致性、成本和客户定点这几道门。</w:t>
      </w:r>
    </w:p>
    <w:p>
      <w:r>
        <w:rPr>
          <w:rFonts w:ascii="Calibri" w:hAnsi="Calibri" w:eastAsia="Microsoft YaHei"/>
          <w:color w:val="303030"/>
          <w:sz w:val="22"/>
        </w:rPr>
        <w:t>已有研究显示，MOF-5/PEO 复合电解质在 EO:Li=10:1、加入 10 wt% MOF-5 时，25 °C 电导率为 3.16×10^-5 S cm^-1；在 80 °C、1 C 的 LiFePO4/Li 电池中循环 100 次后容量保持率为 45%，对照约在 30 次后开始快速衰减。[1]</w:t>
      </w:r>
    </w:p>
    <w:p>
      <w:r>
        <w:rPr>
          <w:rFonts w:ascii="Calibri" w:hAnsi="Calibri" w:eastAsia="Microsoft YaHei"/>
          <w:color w:val="303030"/>
          <w:sz w:val="22"/>
        </w:rPr>
        <w:t>已有研究显示，MOF-688 在 20 °C 和 30 °C 的电导率分别达到 3.4×10^-4 和 4.6×10^-4 S cm^-1，锂离子迁移数约 0.87；但论文中的样品在离子交换后使用无水丙烯碳酸酯（PC）溶剂化，再压片并组装原型电池。[2] 这是一项重要的性能证据，也是一条重要的边界提醒：它不能不加限定地被称作“无液体全固态产品”。</w:t>
      </w:r>
    </w:p>
    <w:p>
      <w:r>
        <w:rPr>
          <w:rFonts w:ascii="Calibri" w:hAnsi="Calibri" w:eastAsia="Microsoft YaHei"/>
          <w:color w:val="303030"/>
          <w:sz w:val="22"/>
        </w:rPr>
        <w:t>因此，更稳妥的判断是：未来 3—8 年，MOF 更可能先用于 MOF/聚合物复合电解质、正负极界面层、隔膜涂层或低添加量功能材料，而不是单独承担整层主电解质。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一、先把两个概念讲清楚：MOF 不是一种电解质，固态也不等于没有液体</w:t>
      </w:r>
    </w:p>
    <w:p>
      <w:r>
        <w:rPr>
          <w:rFonts w:ascii="Calibri" w:hAnsi="Calibri" w:eastAsia="Microsoft YaHei"/>
          <w:color w:val="303030"/>
          <w:sz w:val="22"/>
        </w:rPr>
        <w:t>MOF 可以理解成由金属节点和有机配体搭成的分子级多孔建筑。孔道、表面官能团和电荷状态可调，理论上能固定阴离子、富集锂盐、改善聚合物链段排列。它的吸引力不只是“孔隙率高”，而是有机会同时调节离子传输和界面反应。</w:t>
      </w:r>
    </w:p>
    <w:p>
      <w:r>
        <w:rPr>
          <w:rFonts w:ascii="Calibri" w:hAnsi="Calibri" w:eastAsia="Microsoft YaHei"/>
          <w:color w:val="303030"/>
          <w:sz w:val="22"/>
        </w:rPr>
        <w:t>固态电解质必须让锂离子通过、阻断电子，并在锂金属和正极界面保持稳定；还要能做成薄而少缺陷的大面积膜。单点电导率只说明小样品里的传输速度，不能说明电芯能否长期工作。</w:t>
      </w:r>
    </w:p>
    <w:p>
      <w:r>
        <w:rPr>
          <w:rFonts w:ascii="Calibri" w:hAnsi="Calibri" w:eastAsia="Microsoft YaHei"/>
          <w:color w:val="303030"/>
          <w:sz w:val="22"/>
        </w:rPr>
        <w:t>目前公开文献至少有三条路线，不能混在一起比较。</w:t>
      </w:r>
    </w:p>
    <w:p>
      <w:r>
        <w:rPr>
          <w:rFonts w:ascii="Calibri" w:hAnsi="Calibri" w:eastAsia="Microsoft YaHei"/>
          <w:color w:val="303030"/>
          <w:sz w:val="22"/>
        </w:rPr>
        <w:t>第一条是</w:t>
      </w:r>
      <w:r>
        <w:rPr>
          <w:rFonts w:ascii="Calibri" w:hAnsi="Calibri" w:eastAsia="Microsoft YaHei"/>
          <w:b/>
          <w:color w:val="0B2545"/>
          <w:sz w:val="22"/>
        </w:rPr>
        <w:t>骨架主导的离子导电体系</w:t>
      </w:r>
      <w:r>
        <w:rPr>
          <w:rFonts w:ascii="Calibri" w:hAnsi="Calibri" w:eastAsia="Microsoft YaHei"/>
          <w:color w:val="303030"/>
          <w:sz w:val="22"/>
        </w:rPr>
        <w:t>。MOF-688 通过带电骨架和离子交换传导 Li+，但 PC 溶剂化意味着还要回答去液后的性能、颗粒接触和机械可靠性。</w:t>
      </w:r>
    </w:p>
    <w:p>
      <w:r>
        <w:rPr>
          <w:rFonts w:ascii="Calibri" w:hAnsi="Calibri" w:eastAsia="Microsoft YaHei"/>
          <w:color w:val="303030"/>
          <w:sz w:val="22"/>
        </w:rPr>
        <w:t>第二条是</w:t>
      </w:r>
      <w:r>
        <w:rPr>
          <w:rFonts w:ascii="Calibri" w:hAnsi="Calibri" w:eastAsia="Microsoft YaHei"/>
          <w:b/>
          <w:color w:val="0B2545"/>
          <w:sz w:val="22"/>
        </w:rPr>
        <w:t>MOF/聚合物复合膜</w:t>
      </w:r>
      <w:r>
        <w:rPr>
          <w:rFonts w:ascii="Calibri" w:hAnsi="Calibri" w:eastAsia="Microsoft YaHei"/>
          <w:color w:val="303030"/>
          <w:sz w:val="22"/>
        </w:rPr>
        <w:t>。MOF-5/PEO 和 UiOLiTFSI/PVDF 中，聚合物负责成膜与柔韧性，MOF 负责盐解离、局部通道或界面调节，因而有机会接入涂布工艺；性能必须连同聚合物、锂盐和添加量一起核算。</w:t>
      </w:r>
    </w:p>
    <w:p>
      <w:r>
        <w:rPr>
          <w:rFonts w:ascii="Calibri" w:hAnsi="Calibri" w:eastAsia="Microsoft YaHei"/>
          <w:color w:val="303030"/>
          <w:sz w:val="22"/>
        </w:rPr>
        <w:t>第三条是</w:t>
      </w:r>
      <w:r>
        <w:rPr>
          <w:rFonts w:ascii="Calibri" w:hAnsi="Calibri" w:eastAsia="Microsoft YaHei"/>
          <w:b/>
          <w:color w:val="0B2545"/>
          <w:sz w:val="22"/>
        </w:rPr>
        <w:t>准固态或含液体/塑化剂的复合体系</w:t>
      </w:r>
      <w:r>
        <w:rPr>
          <w:rFonts w:ascii="Calibri" w:hAnsi="Calibri" w:eastAsia="Microsoft YaHei"/>
          <w:color w:val="303030"/>
          <w:sz w:val="22"/>
        </w:rPr>
        <w:t>。离子液体、PC 等被限制在孔道或聚合物网络里，往往换来更高电导率和润湿性，代价是可燃性、泄漏、干燥和定义边界。2025 年综述将多种 UiO-66、MOF-688 和离子液体@MOF 列为准固态或含溶剂化路线。[3][4][5]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二、论文证明了什么，又没有证明什么</w:t>
      </w:r>
    </w:p>
    <w:p>
      <w:r>
        <w:rPr>
          <w:rFonts w:ascii="Calibri" w:hAnsi="Calibri" w:eastAsia="Microsoft YaHei"/>
          <w:color w:val="303030"/>
          <w:sz w:val="22"/>
        </w:rPr>
        <w:t>从证据强度看，MOF 已经走过“只有概念没有数据”的阶段，但还没有走到“电池产品可复制”的阶段。</w:t>
      </w:r>
    </w:p>
    <w:p>
      <w:r>
        <w:rPr>
          <w:rFonts w:ascii="Calibri" w:hAnsi="Calibri" w:eastAsia="Microsoft YaHei"/>
          <w:color w:val="303030"/>
          <w:sz w:val="22"/>
        </w:rPr>
        <w:t>MOF-5/PEO 首先证明了复合添加物有用：25 °C、10 wt% MOF-5 时电导率达 3.16×10^-5 S cm^-1，并在 80 °C、1 C 的 LFP/Li 电池中循环 100 次后保持率 45%。[1] 但测试是高温 LFP/Li，缺少面容量、膜厚、堆压和批次统计，不能直接换算成电动车寿命。</w:t>
      </w:r>
    </w:p>
    <w:p>
      <w:r>
        <w:rPr>
          <w:rFonts w:ascii="Calibri" w:hAnsi="Calibri" w:eastAsia="Microsoft YaHei"/>
          <w:color w:val="303030"/>
          <w:sz w:val="22"/>
        </w:rPr>
        <w:t>MOF-688 把“骨架本身导锂”推进了一步：20 °C 电导率 3.4×10^-4 S cm^-1，tLi+ 约 0.87。[2] 但样品经 PC 溶剂化并压片，原型电池也不是车规厚电极。关键待验证项是去 PC 后的电导率、粉体转薄膜后的晶界和针孔，以及锂枝晶和高镍界面的稳定性。</w:t>
      </w:r>
    </w:p>
    <w:p>
      <w:r>
        <w:rPr>
          <w:rFonts w:ascii="Calibri" w:hAnsi="Calibri" w:eastAsia="Microsoft YaHei"/>
          <w:color w:val="303030"/>
          <w:sz w:val="22"/>
        </w:rPr>
        <w:t>UiOLiTFSI 的公开数据说明复合路线的潜力：综述汇总室温电导率约 2.07×10^-4 S cm^-1、tLi+ 0.84，Li|PL/UiOLiTFSI|LFP 在 0.2 C、100 次后保持率 97.2%。[3] 这些是二手汇总，仍需核对负载、N/P、膜厚、压力和塑化剂，不能替代客户样品测试。</w:t>
      </w:r>
    </w:p>
    <w:p>
      <w:r>
        <w:rPr>
          <w:rFonts w:ascii="Calibri" w:hAnsi="Calibri" w:eastAsia="Microsoft YaHei"/>
          <w:color w:val="303030"/>
          <w:sz w:val="22"/>
        </w:rPr>
        <w:t>因此，最稳妥的表述是：MOF 证明了材料和界面工程的可能性，尚未证明 EV 级全固态主电解质可工程化；从 10^-4 S cm^-1 到量产电芯，还隔着厚电极、低温快充、长周期和批次一致性四道门。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三、和三类竞争路线相比，MOF 的优势并不在“全面更强”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1. 对硫化物：MOF 可能更容易做界面设计，但缺少产业验证</w:t>
      </w:r>
    </w:p>
    <w:p>
      <w:r>
        <w:rPr>
          <w:rFonts w:ascii="Calibri" w:hAnsi="Calibri" w:eastAsia="Microsoft YaHei"/>
          <w:color w:val="303030"/>
          <w:sz w:val="22"/>
        </w:rPr>
        <w:t>硫化物固态电解质通常具备较高室温电导率，材料较软，颗粒接触和冷压成形相对友好；但对水氧敏感，界面、压力保持和干燥控制困难。Solid Power 的公开资料明确其路线是硫化物固态电解质，并披露中试和汽车企业合作背景。[9]</w:t>
      </w:r>
    </w:p>
    <w:p>
      <w:r>
        <w:rPr>
          <w:rFonts w:ascii="Calibri" w:hAnsi="Calibri" w:eastAsia="Microsoft YaHei"/>
          <w:color w:val="303030"/>
          <w:sz w:val="22"/>
        </w:rPr>
        <w:t>MOF 的优势更像“可设计的界面工具”：在硫化物、聚合物和正极之间加薄层，若少量即可改善副反应或锂离子分布，成本压力可能小于整层替代。</w:t>
      </w:r>
      <w:r>
        <w:rPr>
          <w:rFonts w:ascii="Calibri" w:hAnsi="Calibri" w:eastAsia="Microsoft YaHei"/>
          <w:b/>
          <w:color w:val="0B2545"/>
          <w:sz w:val="22"/>
        </w:rPr>
        <w:t>这只是基于现有性能和成本的判断，并非订单事实。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2. 对氧化物：MOF 可能更柔顺，但很难同时满足强度和稳定性</w:t>
      </w:r>
    </w:p>
    <w:p>
      <w:r>
        <w:rPr>
          <w:rFonts w:ascii="Calibri" w:hAnsi="Calibri" w:eastAsia="Microsoft YaHei"/>
          <w:color w:val="303030"/>
          <w:sz w:val="22"/>
        </w:rPr>
        <w:t>氧化物电解质通常热稳定、空气稳定，部分材料窗口较宽；代价是脆硬、烧结温度高，颗粒和电极容易出现接触阻抗。QuantumScape 官方技术页把核心描述为 proprietary ceramic separator，并将可靠性、集成和规模生产列为持续工作内容。[8] 商业难点在于做出大面积、低缺陷、可重复部件。</w:t>
      </w:r>
    </w:p>
    <w:p>
      <w:r>
        <w:rPr>
          <w:rFonts w:ascii="Calibri" w:hAnsi="Calibri" w:eastAsia="Microsoft YaHei"/>
          <w:color w:val="303030"/>
          <w:sz w:val="22"/>
        </w:rPr>
        <w:t>MOF 的低温合成和柔性复合可能适合薄层或涂层，但有机配体、孔隙和较低压实密度会带来机械与热稳定性问题。比较时应看同一厚度、压力下的界面阻抗，而不是只比粉体电导率。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3. 对聚合物：MOF 的价值是补短板，不是替换成膜能力</w:t>
      </w:r>
    </w:p>
    <w:p>
      <w:r>
        <w:rPr>
          <w:rFonts w:ascii="Calibri" w:hAnsi="Calibri" w:eastAsia="Microsoft YaHei"/>
          <w:color w:val="303030"/>
          <w:sz w:val="22"/>
        </w:rPr>
        <w:t>聚合物电解质柔性好、加工成熟、可接入涂布设备；短板是室温电导率受链段运动限制。MOF/聚合物复合让聚合物负责成膜，MOF 帮助盐解离、固定阴离子或改善界面。[1][3]</w:t>
      </w:r>
    </w:p>
    <w:p>
      <w:r>
        <w:rPr>
          <w:rFonts w:ascii="Calibri" w:hAnsi="Calibri" w:eastAsia="Microsoft YaHei"/>
          <w:color w:val="303030"/>
          <w:sz w:val="22"/>
        </w:rPr>
        <w:t>复合也不是免费升级：加得太少改善不明显，加得太多会恶化浆料黏度、孔隙率、柔韧性和成本。投资人应要求同一聚合物、锂盐和膜厚下的对照数据。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四、真正决定商业化的，是制造和成本的细节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1. 制造：从烧杯里的晶体到卷材，中间还有一条长链</w:t>
      </w:r>
    </w:p>
    <w:p>
      <w:r>
        <w:rPr>
          <w:rFonts w:ascii="Calibri" w:hAnsi="Calibri" w:eastAsia="Microsoft YaHei"/>
          <w:color w:val="303030"/>
          <w:sz w:val="22"/>
        </w:rPr>
        <w:t>实验室合成围绕性能最优点，商业制造要围绕批次、设备和废物处理。MOF 放大涉及金属盐和配体供应、晶化、洗涤/溶剂交换、干燥、分级和成膜；每一步都可能改变粒径、含水量、残留溶剂和界面反应。</w:t>
      </w:r>
    </w:p>
    <w:p>
      <w:r>
        <w:rPr>
          <w:rFonts w:ascii="Calibri" w:hAnsi="Calibri" w:eastAsia="Microsoft YaHei"/>
          <w:color w:val="303030"/>
          <w:sz w:val="22"/>
        </w:rPr>
        <w:t>2025 年技术经济评估以年产 1 吨 MOF 为目标，估算初始投资约 33 万至 96.8 万欧元、年成本约 59.6 万至 162 万欧元，并强调原料、溶剂和工艺选择会改变结果。[4] 这不是成交报价，不能用克级论文成本推导吨级毛利。</w:t>
      </w:r>
    </w:p>
    <w:p>
      <w:r>
        <w:rPr>
          <w:rFonts w:ascii="Calibri" w:hAnsi="Calibri" w:eastAsia="Microsoft YaHei"/>
          <w:color w:val="303030"/>
          <w:sz w:val="22"/>
        </w:rPr>
        <w:t>同一综述按实验室假设估算 MOF-688 约 655,055 美元/公斤、PEO 约 1,420 美元/公斤、LLZO 约 8,000 美元/公斤。[3] 这不是采购价，却是成本红旗：整层主电解质须证明数量级降本，低添加量界面材料则须证明收益能支付溢价。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2. 供应链：不只看金属便不便宜，还要看配体、纯度和一致性</w:t>
      </w:r>
    </w:p>
    <w:p>
      <w:r>
        <w:rPr>
          <w:rFonts w:ascii="Calibri" w:hAnsi="Calibri" w:eastAsia="Microsoft YaHei"/>
          <w:color w:val="303030"/>
          <w:sz w:val="22"/>
        </w:rPr>
        <w:t>供应链风险不只在金属节点。电池级材料要有固定孔结构、含水量、残留溶剂、粒径和杂质上限；功能配体、溶剂交换、干燥以及水氧控制都可能成为成本与质量瓶颈。</w:t>
      </w:r>
    </w:p>
    <w:p>
      <w:r>
        <w:rPr>
          <w:rFonts w:ascii="Calibri" w:hAnsi="Calibri" w:eastAsia="Microsoft YaHei"/>
          <w:color w:val="303030"/>
          <w:sz w:val="22"/>
        </w:rPr>
        <w:t>投资人应要求 3—5 个连续批次的 Cpk 数据、双供应商、替代配体和溶剂回收方案。没有这些数据，“可规模制造”仍只是愿景。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3. 客户验证：从纽扣电池到定点，缺的是同一套条件下的证据</w:t>
      </w:r>
    </w:p>
    <w:p>
      <w:r>
        <w:rPr>
          <w:rFonts w:ascii="Calibri" w:hAnsi="Calibri" w:eastAsia="Microsoft YaHei"/>
          <w:color w:val="303030"/>
          <w:sz w:val="22"/>
        </w:rPr>
        <w:t>公开 MOF 论文多围绕 LFP、小面积、低面容量和实验室压力，不能等价于高镍、≥3 mAh cm^-2、低温快充、储存和滥用测试。客户更关心材料能否进入自己的浆料、涂布、辊压和化成窗口，并保持可追溯。</w:t>
      </w:r>
    </w:p>
    <w:p>
      <w:r>
        <w:rPr>
          <w:rFonts w:ascii="Calibri" w:hAnsi="Calibri" w:eastAsia="Microsoft YaHei"/>
          <w:color w:val="303030"/>
          <w:sz w:val="22"/>
        </w:rPr>
        <w:t>下一阶段硬门槛是：公开配方和液体含量；厚电极、低温和 Li 对称数据；500 圈以上长期测试；卷对卷良率；第三方复测；客户付费样品、定点和量产线验证。缺一项都应标成未验证。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五、企业和专利信息要分层，不能把固态电池公司写成 MOF 客户</w:t>
      </w:r>
    </w:p>
    <w:p>
      <w:r>
        <w:rPr>
          <w:rFonts w:ascii="Calibri" w:hAnsi="Calibri" w:eastAsia="Microsoft YaHei"/>
          <w:color w:val="303030"/>
          <w:sz w:val="22"/>
        </w:rPr>
        <w:t>BASF 官方资料称其与 Svante 合作，在工业规模生产用于碳捕集的 MOF，并可按客户规格定制。[6] 这能证明 BASF 有 MOF 放大和工业客户经验，但不能证明它正在开发 MOF 固态电解质。Strem 的公开目录能证明研究级 MOF 和配体供应能力，也不能证明其具备电池级吨产能。[7]</w:t>
      </w:r>
    </w:p>
    <w:p>
      <w:r>
        <w:rPr>
          <w:rFonts w:ascii="Calibri" w:hAnsi="Calibri" w:eastAsia="Microsoft YaHei"/>
          <w:color w:val="303030"/>
          <w:sz w:val="22"/>
        </w:rPr>
        <w:t>QuantumScape 公开的是陶瓷隔膜路线，Solid Power 公开的是硫化物电解质路线。[8][9] 公开资料没有足够依据把它们写成 MOF 采用者。更严谨的写法是“固态电池产业化的竞争路线和潜在客户背景”。内部研发、保密供应或未公开专利可能存在，但不能用可能性代替事实。</w:t>
      </w:r>
    </w:p>
    <w:p>
      <w:r>
        <w:rPr>
          <w:rFonts w:ascii="Calibri" w:hAnsi="Calibri" w:eastAsia="Microsoft YaHei"/>
          <w:color w:val="303030"/>
          <w:sz w:val="22"/>
        </w:rPr>
        <w:t>专利也应按同一标准阅读。US20250015290 描述了含 MOF 与硫化物固态电解质的阳极层，EP3580805A1 描述了 MOF、支撑基体与液体电解质复合膜。[10][11] 专利公开的是权利要求和实施例，不是订单、量产或有效壁垒。投资人还要核对权利要求覆盖范围、法律状态、自由实施空间、许可费和竞品绕开路径。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六、三种情景：未来 3—8 年应该怎样定价不确定性</w:t>
      </w:r>
    </w:p>
    <w:p>
      <w:r>
        <w:rPr>
          <w:rFonts w:ascii="Calibri" w:hAnsi="Calibri" w:eastAsia="Microsoft YaHei"/>
          <w:b/>
          <w:color w:val="0B2545"/>
          <w:sz w:val="22"/>
        </w:rPr>
        <w:t>乐观情景。</w:t>
      </w:r>
      <w:r>
        <w:rPr>
          <w:rFonts w:ascii="Calibri" w:hAnsi="Calibri" w:eastAsia="Microsoft YaHei"/>
          <w:color w:val="303030"/>
          <w:sz w:val="22"/>
        </w:rPr>
        <w:t xml:space="preserve"> 未来 12—36 个月，某一 MOF/聚合物或界面层配方完成连续批次、厚电极、低温和第三方复测；客户愿意为低添加量的界面收益付费。36—60 个月出现定点、许可或小批量供货。这个情景要求性能收益在真实电芯中可重复，且单位用量足以消化材料溢价。</w:t>
      </w:r>
    </w:p>
    <w:p>
      <w:r>
        <w:rPr>
          <w:rFonts w:ascii="Calibri" w:hAnsi="Calibri" w:eastAsia="Microsoft YaHei"/>
          <w:b/>
          <w:color w:val="0B2545"/>
          <w:sz w:val="22"/>
        </w:rPr>
        <w:t>中性情景。</w:t>
      </w:r>
      <w:r>
        <w:rPr>
          <w:rFonts w:ascii="Calibri" w:hAnsi="Calibri" w:eastAsia="Microsoft YaHei"/>
          <w:color w:val="303030"/>
          <w:sz w:val="22"/>
        </w:rPr>
        <w:t xml:space="preserve"> 材料性能可以稳定复现，但独立主电解质的膜化、成本和供应链难以闭合。MOF 以隔膜涂层、正极添加剂、聚合物复合或小众高安全场景获得收入，商业模式偏向授权、定制和功能材料，而非替代硫化物或氧化物的主量产品。</w:t>
      </w:r>
    </w:p>
    <w:p>
      <w:r>
        <w:rPr>
          <w:rFonts w:ascii="Calibri" w:hAnsi="Calibri" w:eastAsia="Microsoft YaHei"/>
          <w:b/>
          <w:color w:val="0B2545"/>
          <w:sz w:val="22"/>
        </w:rPr>
        <w:t>谨慎情景。</w:t>
      </w:r>
      <w:r>
        <w:rPr>
          <w:rFonts w:ascii="Calibri" w:hAnsi="Calibri" w:eastAsia="Microsoft YaHei"/>
          <w:color w:val="303030"/>
          <w:sz w:val="22"/>
        </w:rPr>
        <w:t xml:space="preserve"> 高电导率依赖 PC、离子液体或特殊骨架，去液后性能明显下降；放大后残留溶剂、良率和批次波动无法控制，客户测试也无法通过。项目最终停留在论文、专利和研究级样品阶段。</w:t>
      </w:r>
    </w:p>
    <w:p>
      <w:r>
        <w:rPr>
          <w:rFonts w:ascii="Calibri" w:hAnsi="Calibri" w:eastAsia="Microsoft YaHei"/>
          <w:color w:val="303030"/>
          <w:sz w:val="22"/>
        </w:rPr>
        <w:t>对投资人来说，最重要的不是在三个情景中挑一个故事，而是把里程碑写成可证伪的清单：</w:t>
      </w:r>
    </w:p>
    <w:p>
      <w:pPr>
        <w:pStyle w:val="ListNumber"/>
      </w:pPr>
      <w:r>
        <w:rPr>
          <w:rFonts w:ascii="Calibri" w:hAnsi="Calibri" w:eastAsia="Microsoft YaHei"/>
          <w:color w:val="303030"/>
          <w:sz w:val="22"/>
        </w:rPr>
        <w:t>12—18 个月内，连续 3—5 批材料的孔结构、含水量、残留溶剂、粒径和电导率 Cpk；明确全固态、准固态和复合固态的边界。</w:t>
      </w:r>
    </w:p>
    <w:p>
      <w:pPr>
        <w:pStyle w:val="ListNumber"/>
      </w:pPr>
      <w:r>
        <w:rPr>
          <w:rFonts w:ascii="Calibri" w:hAnsi="Calibri" w:eastAsia="Microsoft YaHei"/>
          <w:color w:val="303030"/>
          <w:sz w:val="22"/>
        </w:rPr>
        <w:t>18—36 个月内，完成可放大膜/涂层工艺，给出实际膜厚、面内/面外电导率、≥3 mAh cm^-2 面容量、低温和快充数据。</w:t>
      </w:r>
    </w:p>
    <w:p>
      <w:pPr>
        <w:pStyle w:val="ListNumber"/>
      </w:pPr>
      <w:r>
        <w:rPr>
          <w:rFonts w:ascii="Calibri" w:hAnsi="Calibri" w:eastAsia="Microsoft YaHei"/>
          <w:color w:val="303030"/>
          <w:sz w:val="22"/>
        </w:rPr>
        <w:t>36—60 个月内，完成第三方电芯的 500 圈以上、储存和滥用测试，提交 BOM、良率、自由实施分析和客户付费样品记录。</w:t>
      </w:r>
    </w:p>
    <w:p>
      <w:pPr>
        <w:pStyle w:val="ListNumber"/>
      </w:pPr>
      <w:r>
        <w:rPr>
          <w:rFonts w:ascii="Calibri" w:hAnsi="Calibri" w:eastAsia="Microsoft YaHei"/>
          <w:color w:val="303030"/>
          <w:sz w:val="22"/>
        </w:rPr>
        <w:t>60—96 个月内，出现客户定点、量产线验证和可重复收入；否则应按材料授权或小众辅助层估值。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结论：先期待“解决一个环节”，不要期待“替代一条路线”</w:t>
      </w:r>
    </w:p>
    <w:p>
      <w:r>
        <w:rPr>
          <w:rFonts w:ascii="Calibri" w:hAnsi="Calibri" w:eastAsia="Microsoft YaHei"/>
          <w:color w:val="303030"/>
          <w:sz w:val="22"/>
        </w:rPr>
        <w:t>MOF 用于固态电解质的技术想法并不荒谬。公开论文已经证明，特定 MOF 骨架和 MOF/聚合物复合膜可以在室温取得 10^-4 S cm^-1 量级电导率，也能在 LFP 等实验室电池中运行。[1][2][3] 这说明材料化学和界面工程存在真实机会。</w:t>
      </w:r>
    </w:p>
    <w:p>
      <w:r>
        <w:rPr>
          <w:rFonts w:ascii="Calibri" w:hAnsi="Calibri" w:eastAsia="Microsoft YaHei"/>
          <w:color w:val="303030"/>
          <w:sz w:val="22"/>
        </w:rPr>
        <w:t>但商业化不是把最好看的数字再放大一遍。MOF-688 的 PC 溶剂化边界、MOF/聚合物体系对配方的依赖、实验室小规模和模型成本之间的鸿沟，都说明当前更接近“可验证的功能材料”，而不是“已经准备替代主电解质的产品”。</w:t>
      </w:r>
    </w:p>
    <w:p>
      <w:r>
        <w:rPr>
          <w:rFonts w:ascii="Calibri" w:hAnsi="Calibri" w:eastAsia="Microsoft YaHei"/>
          <w:b/>
          <w:color w:val="0B2545"/>
          <w:sz w:val="22"/>
        </w:rPr>
        <w:t>综合目前公开证据，更稳妥的判断是：</w:t>
      </w:r>
      <w:r>
        <w:rPr>
          <w:rFonts w:ascii="Calibri" w:hAnsi="Calibri" w:eastAsia="Microsoft YaHei"/>
          <w:color w:val="303030"/>
          <w:sz w:val="22"/>
        </w:rPr>
        <w:t>未来 3—8 年优先跟踪复合电解质、界面层、隔膜涂层和添加剂；独立 MOF 全面替代硫化物或氧化物主电解质，短期不应作为基准情景。只有连续批次、真实厚电极、成本拆解和客户定点同时出现，判断才可能上调。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参考文献</w:t>
      </w:r>
    </w:p>
    <w:p>
      <w:r>
        <w:rPr>
          <w:rFonts w:ascii="Calibri" w:hAnsi="Calibri" w:eastAsia="Microsoft YaHei"/>
          <w:color w:val="303030"/>
          <w:sz w:val="22"/>
        </w:rPr>
        <w:t>[1] Yuan et al., “Enhanced electrochemical performance of PEO composite polymer electrolyte by nano-MOF-5,” *Journal of Power Sources*, 2013. https://www.sciencedirect.com/science/article/pii/S0378775313008070</w:t>
      </w:r>
    </w:p>
    <w:p>
      <w:r>
        <w:rPr>
          <w:rFonts w:ascii="Calibri" w:hAnsi="Calibri" w:eastAsia="Microsoft YaHei"/>
          <w:color w:val="303030"/>
          <w:sz w:val="22"/>
        </w:rPr>
        <w:t>[2] Xu et al., “A Metal-Organic Framework of Organic Vertices and Polyoxometalate Linkers as a Solid-State Electrolyte,” *Journal of the American Chemical Society*, 2019. https://yaghi.berkeley.edu/pdfPublications/19MOFSSE.pdf</w:t>
      </w:r>
    </w:p>
    <w:p>
      <w:r>
        <w:rPr>
          <w:rFonts w:ascii="Calibri" w:hAnsi="Calibri" w:eastAsia="Microsoft YaHei"/>
          <w:color w:val="303030"/>
          <w:sz w:val="22"/>
        </w:rPr>
        <w:t>[3] Huang et al., “Solid-State Electrolytes for Lithium Metal Batteries: State-of-the-Art and Perspectives,” *Advanced Functional Materials*, 2025. https://advanced.onlinelibrary.wiley.com/doi/10.1002/adfm.202411171</w:t>
      </w:r>
    </w:p>
    <w:p>
      <w:r>
        <w:rPr>
          <w:rFonts w:ascii="Calibri" w:hAnsi="Calibri" w:eastAsia="Microsoft YaHei"/>
          <w:color w:val="303030"/>
          <w:sz w:val="22"/>
        </w:rPr>
        <w:t>[4] Yousef, “Techno-economic assessment of scale-up of metal-organic framework production,” *Journal of Industrial and Engineering Chemistry*, 2025. https://www.sciencedirect.com/science/article/pii/S0019452225007514</w:t>
      </w:r>
    </w:p>
    <w:p>
      <w:r>
        <w:rPr>
          <w:rFonts w:ascii="Calibri" w:hAnsi="Calibri" w:eastAsia="Microsoft YaHei"/>
          <w:color w:val="303030"/>
          <w:sz w:val="22"/>
        </w:rPr>
        <w:t>[5] “MOF/Polymer Composites for Solid State Electrolytes—A Critical Review,” 2025. https://www.sciencedirect.com/science/article/pii/S0378775325005567</w:t>
      </w:r>
    </w:p>
    <w:p>
      <w:r>
        <w:rPr>
          <w:rFonts w:ascii="Calibri" w:hAnsi="Calibri" w:eastAsia="Microsoft YaHei"/>
          <w:color w:val="303030"/>
          <w:sz w:val="22"/>
        </w:rPr>
        <w:t>[6] BASF, “MOF industrial-scale carbon capture materials,” BASF, n.d. https://chemical-catalysts-and-adsorbents.basf.com/global/en/custom-catalysts/MOF</w:t>
      </w:r>
    </w:p>
    <w:p>
      <w:r>
        <w:rPr>
          <w:rFonts w:ascii="Calibri" w:hAnsi="Calibri" w:eastAsia="Microsoft YaHei"/>
          <w:color w:val="303030"/>
          <w:sz w:val="22"/>
        </w:rPr>
        <w:t>[7] Strem, “MOF and ligand research catalogue,” Strem, n.d. https://resources.strem.com/mof_booklet.pdf</w:t>
      </w:r>
    </w:p>
    <w:p>
      <w:r>
        <w:rPr>
          <w:rFonts w:ascii="Calibri" w:hAnsi="Calibri" w:eastAsia="Microsoft YaHei"/>
          <w:color w:val="303030"/>
          <w:sz w:val="22"/>
        </w:rPr>
        <w:t>[8] QuantumScape, “Technology,” QuantumScape, n.d. https://www.quantumscape.com/technology/</w:t>
      </w:r>
    </w:p>
    <w:p>
      <w:r>
        <w:rPr>
          <w:rFonts w:ascii="Calibri" w:hAnsi="Calibri" w:eastAsia="Microsoft YaHei"/>
          <w:color w:val="303030"/>
          <w:sz w:val="22"/>
        </w:rPr>
        <w:t>[9] Solid Power, “Overview,” Solid Power, n.d. https://www.solidpowerbattery.com/overview/default.aspx</w:t>
      </w:r>
    </w:p>
    <w:p>
      <w:r>
        <w:rPr>
          <w:rFonts w:ascii="Calibri" w:hAnsi="Calibri" w:eastAsia="Microsoft YaHei"/>
          <w:color w:val="303030"/>
          <w:sz w:val="22"/>
        </w:rPr>
        <w:t>[10] US20250015290, “Anode layer comprising MOF and sulfide solid electrolyte,” 2025. https://patents.justia.com/patent/20250015290</w:t>
      </w:r>
    </w:p>
    <w:p>
      <w:r>
        <w:rPr>
          <w:rFonts w:ascii="Calibri" w:hAnsi="Calibri" w:eastAsia="Microsoft YaHei"/>
          <w:color w:val="303030"/>
          <w:sz w:val="22"/>
        </w:rPr>
        <w:t>[11] EP3580805A1, “Composite membrane comprising a metal-organic framework,” 2019. https://patents.google.com/patent/EP3580805A1/en</w:t>
      </w:r>
    </w:p>
    <w:p>
      <w:r>
        <w:rPr>
          <w:rFonts w:ascii="Calibri" w:hAnsi="Calibri" w:eastAsia="Microsoft YaHei"/>
          <w:color w:val="303030"/>
          <w:sz w:val="22"/>
        </w:rPr>
        <w:t>---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737373"/>
        <w:sz w:val="18"/>
      </w:rPr>
      <w:t xml:space="preserve">证据优先研究 · 第 </w:t>
    </w:r>
    <w:r>
      <w:rPr>
        <w:rFonts w:ascii="Calibri" w:hAnsi="Calibri" w:eastAsia="Microsoft YaHei"/>
        <w:color w:val="7373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7373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737373"/>
        <w:sz w:val="18"/>
      </w:rPr>
      <w:t>MOF 固态电解质商业化评估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Microsoft YaHei"/>
      <w:color w:val="3030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  <w:jc w:val="left"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 w:eastAsia="Microsoft YaHei"/>
      <w:color w:val="30303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Calibri" w:hAnsi="Calibri" w:eastAsia="Microsoft YaHei"/>
      <w:color w:val="30303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earchStatus">
    <w:name w:val="Research Status"/>
    <w:pPr>
      <w:spacing w:before="80" w:after="160"/>
      <w:ind w:left="288" w:right="288"/>
    </w:pPr>
    <w:rPr>
      <w:rFonts w:ascii="Calibri" w:hAnsi="Calibri" w:eastAsia="Microsoft YaHei"/>
      <w:color w:val="5C4B22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MOF 用于固态电解质，离商业化还有多远？</dc:title>
  <dc:subject>MOF 固态电解质商业化前景分析</dc:subject>
  <dc:creator>公众号文章工作台</dc:creator>
  <cp:keywords/>
  <dc:description>依据公开论文、综述、专利和企业资料整理。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