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José Alexander Brenes Brenes.</w:t>
      </w:r>
    </w:p>
    <w:p w:rsidR="00000000" w:rsidDel="00000000" w:rsidP="00000000" w:rsidRDefault="00000000" w:rsidRPr="00000000" w14:paraId="00000002">
      <w:pPr>
        <w:rPr/>
      </w:pPr>
      <w:r w:rsidDel="00000000" w:rsidR="00000000" w:rsidRPr="00000000">
        <w:rPr>
          <w:rtl w:val="0"/>
        </w:rPr>
        <w:t xml:space="preserve">Juan Daniel Quirós Moya.</w:t>
      </w:r>
    </w:p>
    <w:tbl>
      <w:tblPr>
        <w:tblStyle w:val="Table1"/>
        <w:tblW w:w="10905.0" w:type="dxa"/>
        <w:jc w:val="left"/>
        <w:tblInd w:w="-6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3.125"/>
        <w:gridCol w:w="1363.125"/>
        <w:gridCol w:w="1363.125"/>
        <w:gridCol w:w="1363.125"/>
        <w:gridCol w:w="1363.125"/>
        <w:gridCol w:w="1363.125"/>
        <w:gridCol w:w="1363.125"/>
        <w:gridCol w:w="1363.125"/>
        <w:tblGridChange w:id="0">
          <w:tblGrid>
            <w:gridCol w:w="1363.125"/>
            <w:gridCol w:w="1363.125"/>
            <w:gridCol w:w="1363.125"/>
            <w:gridCol w:w="1363.125"/>
            <w:gridCol w:w="1363.125"/>
            <w:gridCol w:w="1363.125"/>
            <w:gridCol w:w="1363.125"/>
            <w:gridCol w:w="1363.125"/>
          </w:tblGrid>
        </w:tblGridChange>
      </w:tblGrid>
      <w:tr>
        <w:trPr>
          <w:trHeight w:val="2020" w:hRule="atLeast"/>
        </w:trPr>
        <w:tc>
          <w:tcPr>
            <w:tcBorders>
              <w:top w:color="000000" w:space="0" w:sz="8" w:val="single"/>
              <w:left w:color="000000"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jc w:val="center"/>
              <w:rPr/>
            </w:pPr>
            <w:r w:rsidDel="00000000" w:rsidR="00000000" w:rsidRPr="00000000">
              <w:rPr>
                <w:rtl w:val="0"/>
              </w:rPr>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jc w:val="left"/>
              <w:rPr/>
            </w:pPr>
            <w:r w:rsidDel="00000000" w:rsidR="00000000" w:rsidRPr="00000000">
              <w:rPr>
                <w:rtl w:val="0"/>
              </w:rPr>
              <w:t xml:space="preserve">Arreglo int</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jc w:val="center"/>
              <w:rPr/>
            </w:pP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jc w:val="center"/>
              <w:rPr/>
            </w:pPr>
            <w:r w:rsidDel="00000000" w:rsidR="00000000" w:rsidRPr="00000000">
              <w:rPr>
                <w:rtl w:val="0"/>
              </w:rPr>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center"/>
              <w:rPr/>
            </w:pPr>
            <w:r w:rsidDel="00000000" w:rsidR="00000000" w:rsidRPr="00000000">
              <w:rPr>
                <w:rtl w:val="0"/>
              </w:rPr>
              <w:t xml:space="preserve">Arreglo short int</w:t>
            </w:r>
          </w:p>
        </w:tc>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pPr>
            <w:r w:rsidDel="00000000" w:rsidR="00000000" w:rsidRPr="00000000">
              <w:rPr>
                <w:rtl w:val="0"/>
              </w:rPr>
            </w:r>
          </w:p>
        </w:tc>
        <w:tc>
          <w:tcPr>
            <w:tcBorders>
              <w:top w:color="000000" w:space="0" w:sz="8" w:val="single"/>
              <w:left w:color="ffffff"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pPr>
            <w:r w:rsidDel="00000000" w:rsidR="00000000" w:rsidRPr="00000000">
              <w:rPr>
                <w:rtl w:val="0"/>
              </w:rPr>
            </w:r>
          </w:p>
        </w:tc>
      </w:tr>
      <w:tr>
        <w:trPr>
          <w:trHeight w:val="2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pPr>
            <w:r w:rsidDel="00000000" w:rsidR="00000000" w:rsidRPr="00000000">
              <w:rPr>
                <w:rtl w:val="0"/>
              </w:rPr>
              <w:t xml:space="preserve">Cantidad</w:t>
            </w:r>
          </w:p>
          <w:p w:rsidR="00000000" w:rsidDel="00000000" w:rsidP="00000000" w:rsidRDefault="00000000" w:rsidRPr="00000000" w14:paraId="0000000C">
            <w:pPr>
              <w:spacing w:before="240" w:lineRule="auto"/>
              <w:jc w:val="center"/>
              <w:rPr/>
            </w:pPr>
            <w:r w:rsidDel="00000000" w:rsidR="00000000" w:rsidRPr="00000000">
              <w:rPr>
                <w:rtl w:val="0"/>
              </w:rPr>
              <w:t xml:space="preserve">de dígitos</w:t>
            </w:r>
          </w:p>
          <w:p w:rsidR="00000000" w:rsidDel="00000000" w:rsidP="00000000" w:rsidRDefault="00000000" w:rsidRPr="00000000" w14:paraId="0000000D">
            <w:pPr>
              <w:spacing w:before="240" w:lineRule="auto"/>
              <w:jc w:val="center"/>
              <w:rPr/>
            </w:pPr>
            <w:r w:rsidDel="00000000" w:rsidR="00000000" w:rsidRPr="00000000">
              <w:rPr>
                <w:rtl w:val="0"/>
              </w:rPr>
              <w:t xml:space="preserve">almacenables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pPr>
            <w:r w:rsidDel="00000000" w:rsidR="00000000" w:rsidRPr="00000000">
              <w:rPr>
                <w:rtl w:val="0"/>
              </w:rPr>
              <w:t xml:space="preserve">T</w:t>
            </w:r>
            <w:r w:rsidDel="00000000" w:rsidR="00000000" w:rsidRPr="00000000">
              <w:rPr>
                <w:rtl w:val="0"/>
              </w:rPr>
              <w:t xml:space="preserve">amaño del arreglo en Bytes.</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pPr>
            <w:r w:rsidDel="00000000" w:rsidR="00000000" w:rsidRPr="00000000">
              <w:rPr>
                <w:rtl w:val="0"/>
              </w:rPr>
              <w:t xml:space="preserve">Desperdicio con un solo 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i w:val="1"/>
              </w:rPr>
            </w:pPr>
            <w:r w:rsidDel="00000000" w:rsidR="00000000" w:rsidRPr="00000000">
              <w:rPr>
                <w:rtl w:val="0"/>
              </w:rPr>
              <w:t xml:space="preserve">% de bytes de memoria total de un nodo para punteros </w:t>
            </w:r>
            <w:r w:rsidDel="00000000" w:rsidR="00000000" w:rsidRPr="00000000">
              <w:rPr>
                <w:i w:val="1"/>
                <w:rtl w:val="0"/>
              </w:rPr>
              <w:t xml:space="preserve">next &amp; prev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pPr>
            <w:r w:rsidDel="00000000" w:rsidR="00000000" w:rsidRPr="00000000">
              <w:rPr>
                <w:rtl w:val="0"/>
              </w:rPr>
              <w:t xml:space="preserve">Cantidad</w:t>
            </w:r>
          </w:p>
          <w:p w:rsidR="00000000" w:rsidDel="00000000" w:rsidP="00000000" w:rsidRDefault="00000000" w:rsidRPr="00000000" w14:paraId="00000012">
            <w:pPr>
              <w:spacing w:before="240" w:lineRule="auto"/>
              <w:jc w:val="center"/>
              <w:rPr/>
            </w:pPr>
            <w:r w:rsidDel="00000000" w:rsidR="00000000" w:rsidRPr="00000000">
              <w:rPr>
                <w:rtl w:val="0"/>
              </w:rPr>
              <w:t xml:space="preserve">de dígitos</w:t>
            </w:r>
          </w:p>
          <w:p w:rsidR="00000000" w:rsidDel="00000000" w:rsidP="00000000" w:rsidRDefault="00000000" w:rsidRPr="00000000" w14:paraId="00000013">
            <w:pPr>
              <w:spacing w:before="240" w:lineRule="auto"/>
              <w:jc w:val="center"/>
              <w:rPr/>
            </w:pPr>
            <w:r w:rsidDel="00000000" w:rsidR="00000000" w:rsidRPr="00000000">
              <w:rPr>
                <w:rtl w:val="0"/>
              </w:rPr>
              <w:t xml:space="preserve">almacenables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pPr>
            <w:r w:rsidDel="00000000" w:rsidR="00000000" w:rsidRPr="00000000">
              <w:rPr>
                <w:rtl w:val="0"/>
              </w:rPr>
              <w:t xml:space="preserve">Tamaño del arreglo en Bytes</w:t>
            </w:r>
            <w:r w:rsidDel="00000000" w:rsidR="00000000" w:rsidRPr="00000000">
              <w:rPr>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pPr>
            <w:r w:rsidDel="00000000" w:rsidR="00000000" w:rsidRPr="00000000">
              <w:rPr>
                <w:rtl w:val="0"/>
              </w:rPr>
              <w:t xml:space="preserve">Desperdicio con un solo 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i w:val="1"/>
              </w:rPr>
            </w:pPr>
            <w:r w:rsidDel="00000000" w:rsidR="00000000" w:rsidRPr="00000000">
              <w:rPr>
                <w:rtl w:val="0"/>
              </w:rPr>
              <w:t xml:space="preserve">% de bytes de memoria total de un nodo para punteros </w:t>
            </w:r>
            <w:r w:rsidDel="00000000" w:rsidR="00000000" w:rsidRPr="00000000">
              <w:rPr>
                <w:i w:val="1"/>
                <w:rtl w:val="0"/>
              </w:rPr>
              <w:t xml:space="preserve">next &amp; prev</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pPr>
            <w:r w:rsidDel="00000000" w:rsidR="00000000" w:rsidRPr="00000000">
              <w:rPr>
                <w:rtl w:val="0"/>
              </w:rPr>
              <w:t xml:space="preserve">27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pPr>
            <w:r w:rsidDel="00000000" w:rsidR="00000000" w:rsidRPr="00000000">
              <w:rPr>
                <w:rtl w:val="0"/>
              </w:rPr>
              <w:t xml:space="preserve">57.14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pPr>
            <w:r w:rsidDel="00000000" w:rsidR="00000000" w:rsidRPr="00000000">
              <w:rPr>
                <w:rtl w:val="0"/>
              </w:rPr>
              <w:t xml:space="preserve">44.44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pPr>
            <w:r w:rsidDel="00000000" w:rsidR="00000000" w:rsidRPr="00000000">
              <w:rPr>
                <w:rtl w:val="0"/>
              </w:rPr>
              <w:t xml:space="preserve">36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pPr>
            <w:r w:rsidDel="00000000" w:rsidR="00000000" w:rsidRPr="00000000">
              <w:rPr>
                <w:rtl w:val="0"/>
              </w:rPr>
              <w:t xml:space="preserve">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pPr>
            <w:r w:rsidDel="00000000" w:rsidR="00000000" w:rsidRPr="00000000">
              <w:rPr>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pPr>
            <w:r w:rsidDel="00000000" w:rsidR="00000000" w:rsidRPr="00000000">
              <w:rPr>
                <w:rtl w:val="0"/>
              </w:rPr>
              <w:t xml:space="preserve">42.10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pPr>
            <w:r w:rsidDel="00000000" w:rsidR="00000000" w:rsidRPr="00000000">
              <w:rPr>
                <w:rtl w:val="0"/>
              </w:rPr>
              <w:t xml:space="preserve">45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pPr>
            <w:r w:rsidDel="00000000" w:rsidR="00000000" w:rsidRPr="00000000">
              <w:rPr>
                <w:rtl w:val="0"/>
              </w:rPr>
              <w:t xml:space="preserve">44.44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center"/>
              <w:rPr/>
            </w:pPr>
            <w:r w:rsidDel="00000000" w:rsidR="00000000" w:rsidRPr="00000000">
              <w:rPr>
                <w:rtl w:val="0"/>
              </w:rPr>
              <w:t xml:space="preserve">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pPr>
            <w:r w:rsidDel="00000000" w:rsidR="00000000" w:rsidRPr="00000000">
              <w:rPr>
                <w:rtl w:val="0"/>
              </w:rPr>
              <w:t xml:space="preserve">40.00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pPr>
            <w:r w:rsidDel="00000000" w:rsidR="00000000" w:rsidRPr="00000000">
              <w:rPr>
                <w:rtl w:val="0"/>
              </w:rPr>
              <w:t xml:space="preserve">54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pPr>
            <w:r w:rsidDel="00000000" w:rsidR="00000000" w:rsidRPr="00000000">
              <w:rPr>
                <w:rtl w:val="0"/>
              </w:rPr>
              <w:t xml:space="preserve">40.00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center"/>
              <w:rPr/>
            </w:pPr>
            <w:r w:rsidDel="00000000" w:rsidR="00000000" w:rsidRPr="00000000">
              <w:rPr>
                <w:rtl w:val="0"/>
              </w:rPr>
              <w:t xml:space="preserve">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pPr>
            <w:r w:rsidDel="00000000" w:rsidR="00000000" w:rsidRPr="00000000">
              <w:rPr>
                <w:rtl w:val="0"/>
              </w:rPr>
              <w:t xml:space="preserve">38.10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pPr>
            <w:r w:rsidDel="00000000" w:rsidR="00000000" w:rsidRPr="00000000">
              <w:rPr>
                <w:rtl w:val="0"/>
              </w:rPr>
              <w:t xml:space="preserve">63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pPr>
            <w:r w:rsidDel="00000000" w:rsidR="00000000" w:rsidRPr="00000000">
              <w:rPr>
                <w:rtl w:val="0"/>
              </w:rPr>
              <w:t xml:space="preserve">36.36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pPr>
            <w:r w:rsidDel="00000000" w:rsidR="00000000" w:rsidRPr="00000000">
              <w:rPr>
                <w:rtl w:val="0"/>
              </w:rPr>
              <w:t xml:space="preserve">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pPr>
            <w:r w:rsidDel="00000000" w:rsidR="00000000" w:rsidRPr="00000000">
              <w:rPr>
                <w:rtl w:val="0"/>
              </w:rPr>
              <w:t xml:space="preserve">36.36</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pPr>
            <w:r w:rsidDel="00000000" w:rsidR="00000000" w:rsidRPr="00000000">
              <w:rPr>
                <w:rtl w:val="0"/>
              </w:rPr>
              <w:t xml:space="preserve">72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pPr>
            <w:r w:rsidDel="00000000" w:rsidR="00000000" w:rsidRPr="00000000">
              <w:rPr>
                <w:rtl w:val="0"/>
              </w:rPr>
              <w:t xml:space="preserve">33.33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pPr>
            <w:r w:rsidDel="00000000" w:rsidR="00000000" w:rsidRPr="00000000">
              <w:rPr>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pPr>
            <w:r w:rsidDel="00000000" w:rsidR="00000000" w:rsidRPr="00000000">
              <w:rPr>
                <w:rtl w:val="0"/>
              </w:rPr>
              <w:t xml:space="preserve">34.78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pPr>
            <w:r w:rsidDel="00000000" w:rsidR="00000000" w:rsidRPr="00000000">
              <w:rPr>
                <w:rtl w:val="0"/>
              </w:rPr>
              <w:t xml:space="preserve">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pPr>
            <w:r w:rsidDel="00000000" w:rsidR="00000000" w:rsidRPr="00000000">
              <w:rPr>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pPr>
            <w:r w:rsidDel="00000000" w:rsidR="00000000" w:rsidRPr="00000000">
              <w:rPr>
                <w:rtl w:val="0"/>
              </w:rPr>
              <w:t xml:space="preserve">33.33</w:t>
            </w:r>
          </w:p>
        </w:tc>
      </w:tr>
    </w:tbl>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En nuestro proyecto decidimos utilizar arreglos de tipo int para almacenar los números de la clase Integer pues permite almacenar más del doble de elementos que el tipo de datos short con una menor cantidad de bytes, ventaja deseable cuando se trabajan números muy grandes. Además, como se observa en la tabla anterior que definimos a través pruebas, observamos una clara ventaja en el uso de la memoria pues si el valor a almacenar es mínimo (desde -99999999 hasta 999999999), el desperdicio de memoria es considerablemente menor. No se utilizó el tipo de datos long long pues no permitiría hacer los cálculos aritméticos correctamente, sobrepasando la mayor cantidad de dígitos que permitía almacenar este y cualquier otro tipo de dato primitivo.</w:t>
      </w:r>
    </w:p>
    <w:sectPr>
      <w:pgSz w:h="16834" w:w="11909"/>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