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66C5" w14:textId="77777777" w:rsidR="00A02AD7" w:rsidRPr="00493427" w:rsidRDefault="00A02AD7" w:rsidP="00A02AD7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CDCEF64" wp14:editId="12D879B4">
            <wp:extent cx="5922645" cy="473138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56E5" w14:textId="77777777" w:rsidR="00A02AD7" w:rsidRDefault="00A02AD7" w:rsidP="00A02AD7">
      <w:pPr>
        <w:rPr>
          <w:color w:val="FF0000"/>
        </w:rPr>
      </w:pPr>
      <w:r w:rsidRPr="00493427">
        <w:rPr>
          <w:color w:val="FF0000"/>
        </w:rPr>
        <w:t>Рисовать общую диаграмму</w:t>
      </w:r>
    </w:p>
    <w:p w14:paraId="2B3E3751" w14:textId="77777777" w:rsidR="00A02AD7" w:rsidRPr="00316B4A" w:rsidRDefault="00A02AD7" w:rsidP="00A02A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B4A">
        <w:rPr>
          <w:rFonts w:ascii="Times New Roman" w:hAnsi="Times New Roman" w:cs="Times New Roman"/>
          <w:sz w:val="28"/>
          <w:szCs w:val="28"/>
        </w:rPr>
        <w:t>Согласно рисунку 3.6 можно судить, что границы и размеры всех ограниченных контекстов и моделей предметной области выбраны правильно, так как между этими моделями существуют несколько прочных связей, и не обязательно объединять информацию из нескольких моделей предметной области при выполнении типичных операций в приложении.</w:t>
      </w:r>
    </w:p>
    <w:p w14:paraId="4897218A" w14:textId="77777777" w:rsidR="00406A03" w:rsidRDefault="00406A03"/>
    <w:sectPr w:rsidR="0040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D7"/>
    <w:rsid w:val="003F3925"/>
    <w:rsid w:val="00406A03"/>
    <w:rsid w:val="006B7EED"/>
    <w:rsid w:val="009B7B59"/>
    <w:rsid w:val="00A02AD7"/>
    <w:rsid w:val="00B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C65A"/>
  <w15:chartTrackingRefBased/>
  <w15:docId w15:val="{EA4EDBAE-A6EA-4BA3-AD58-34E1A299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AD7"/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</cp:revision>
  <dcterms:created xsi:type="dcterms:W3CDTF">2021-04-05T16:13:00Z</dcterms:created>
  <dcterms:modified xsi:type="dcterms:W3CDTF">2021-04-05T16:13:00Z</dcterms:modified>
</cp:coreProperties>
</file>